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8ECD7" w14:textId="77777777" w:rsidR="00300AF1" w:rsidRDefault="00300AF1" w:rsidP="003F1193">
      <w:pPr>
        <w:shd w:val="clear" w:color="auto" w:fill="FFFFFF"/>
        <w:spacing w:after="0" w:line="240" w:lineRule="auto"/>
        <w:jc w:val="both"/>
        <w:rPr>
          <w:rFonts w:ascii="Calibri" w:eastAsia="Times New Roman" w:hAnsi="Calibri" w:cs="Calibri"/>
          <w:b/>
          <w:color w:val="000000"/>
          <w:u w:val="single"/>
          <w:bdr w:val="none" w:sz="0" w:space="0" w:color="auto" w:frame="1"/>
          <w:lang w:eastAsia="it-IT"/>
        </w:rPr>
      </w:pPr>
      <w:bookmarkStart w:id="0" w:name="_GoBack"/>
      <w:bookmarkEnd w:id="0"/>
      <w:r w:rsidRPr="003F1928">
        <w:rPr>
          <w:rFonts w:ascii="Calibri" w:eastAsia="Times New Roman" w:hAnsi="Calibri" w:cs="Calibri"/>
          <w:b/>
          <w:color w:val="000000"/>
          <w:u w:val="single"/>
          <w:bdr w:val="none" w:sz="0" w:space="0" w:color="auto" w:frame="1"/>
          <w:lang w:eastAsia="it-IT"/>
        </w:rPr>
        <w:t>Integrazione ai manuali di rendicontazione POR FESR 2014-2020 Asse 4 Az</w:t>
      </w:r>
      <w:r w:rsidR="003F1928" w:rsidRPr="003F1928">
        <w:rPr>
          <w:rFonts w:ascii="Calibri" w:eastAsia="Times New Roman" w:hAnsi="Calibri" w:cs="Calibri"/>
          <w:b/>
          <w:color w:val="000000"/>
          <w:u w:val="single"/>
          <w:bdr w:val="none" w:sz="0" w:space="0" w:color="auto" w:frame="1"/>
          <w:lang w:eastAsia="it-IT"/>
        </w:rPr>
        <w:t>. 4.1.1 e 4.1.2</w:t>
      </w:r>
      <w:r w:rsidRPr="003F1928">
        <w:rPr>
          <w:rFonts w:ascii="Calibri" w:eastAsia="Times New Roman" w:hAnsi="Calibri" w:cs="Calibri"/>
          <w:b/>
          <w:color w:val="000000"/>
          <w:u w:val="single"/>
          <w:bdr w:val="none" w:sz="0" w:space="0" w:color="auto" w:frame="1"/>
          <w:lang w:eastAsia="it-IT"/>
        </w:rPr>
        <w:t xml:space="preserve"> a valere sui bandi approvati con DGR n. 610/2016 (bando 2016) e DGR n. 1978/2017 (bando 2017) approvati con </w:t>
      </w:r>
      <w:proofErr w:type="spellStart"/>
      <w:r w:rsidRPr="003F1928">
        <w:rPr>
          <w:rFonts w:ascii="Calibri" w:eastAsia="Times New Roman" w:hAnsi="Calibri" w:cs="Calibri"/>
          <w:b/>
          <w:color w:val="000000"/>
          <w:u w:val="single"/>
          <w:bdr w:val="none" w:sz="0" w:space="0" w:color="auto" w:frame="1"/>
          <w:lang w:eastAsia="it-IT"/>
        </w:rPr>
        <w:t>Determine</w:t>
      </w:r>
      <w:proofErr w:type="spellEnd"/>
      <w:r w:rsidRPr="003F1928">
        <w:rPr>
          <w:rFonts w:ascii="Calibri" w:eastAsia="Times New Roman" w:hAnsi="Calibri" w:cs="Calibri"/>
          <w:b/>
          <w:color w:val="000000"/>
          <w:u w:val="single"/>
          <w:bdr w:val="none" w:sz="0" w:space="0" w:color="auto" w:frame="1"/>
          <w:lang w:eastAsia="it-IT"/>
        </w:rPr>
        <w:t xml:space="preserve"> nn</w:t>
      </w:r>
      <w:r w:rsidR="003F1928" w:rsidRPr="003F1928">
        <w:rPr>
          <w:rFonts w:ascii="Calibri" w:eastAsia="Times New Roman" w:hAnsi="Calibri" w:cs="Calibri"/>
          <w:b/>
          <w:color w:val="000000"/>
          <w:u w:val="single"/>
          <w:bdr w:val="none" w:sz="0" w:space="0" w:color="auto" w:frame="1"/>
          <w:lang w:eastAsia="it-IT"/>
        </w:rPr>
        <w:t>.579/2018 e 15702/2018</w:t>
      </w:r>
    </w:p>
    <w:p w14:paraId="69D2B72A" w14:textId="77777777" w:rsidR="00300AF1" w:rsidRDefault="00300AF1" w:rsidP="003F1193">
      <w:pPr>
        <w:shd w:val="clear" w:color="auto" w:fill="FFFFFF"/>
        <w:spacing w:after="0" w:line="240" w:lineRule="auto"/>
        <w:jc w:val="both"/>
        <w:rPr>
          <w:rFonts w:ascii="Calibri" w:eastAsia="Times New Roman" w:hAnsi="Calibri" w:cs="Calibri"/>
          <w:b/>
          <w:color w:val="000000"/>
          <w:u w:val="single"/>
          <w:bdr w:val="none" w:sz="0" w:space="0" w:color="auto" w:frame="1"/>
          <w:lang w:eastAsia="it-IT"/>
        </w:rPr>
      </w:pPr>
    </w:p>
    <w:p w14:paraId="53C9B5E6" w14:textId="77777777" w:rsidR="003F1193" w:rsidRPr="003F1193" w:rsidRDefault="00300AF1" w:rsidP="003F1193">
      <w:pPr>
        <w:shd w:val="clear" w:color="auto" w:fill="FFFFFF"/>
        <w:spacing w:after="0" w:line="240" w:lineRule="auto"/>
        <w:jc w:val="both"/>
        <w:rPr>
          <w:rFonts w:ascii="Calibri" w:eastAsia="Times New Roman" w:hAnsi="Calibri" w:cs="Calibri"/>
          <w:b/>
          <w:color w:val="000000"/>
          <w:u w:val="single"/>
          <w:bdr w:val="none" w:sz="0" w:space="0" w:color="auto" w:frame="1"/>
          <w:lang w:eastAsia="it-IT"/>
        </w:rPr>
      </w:pPr>
      <w:r>
        <w:rPr>
          <w:rFonts w:ascii="Calibri" w:eastAsia="Times New Roman" w:hAnsi="Calibri" w:cs="Calibri"/>
          <w:b/>
          <w:color w:val="000000"/>
          <w:u w:val="single"/>
          <w:bdr w:val="none" w:sz="0" w:space="0" w:color="auto" w:frame="1"/>
          <w:lang w:eastAsia="it-IT"/>
        </w:rPr>
        <w:t xml:space="preserve">Linee guida per </w:t>
      </w:r>
      <w:r w:rsidR="003F1193" w:rsidRPr="003F1193">
        <w:rPr>
          <w:rFonts w:ascii="Calibri" w:eastAsia="Times New Roman" w:hAnsi="Calibri" w:cs="Calibri"/>
          <w:b/>
          <w:color w:val="000000"/>
          <w:u w:val="single"/>
          <w:bdr w:val="none" w:sz="0" w:space="0" w:color="auto" w:frame="1"/>
          <w:lang w:eastAsia="it-IT"/>
        </w:rPr>
        <w:t xml:space="preserve">la </w:t>
      </w:r>
      <w:r>
        <w:rPr>
          <w:rFonts w:ascii="Calibri" w:eastAsia="Times New Roman" w:hAnsi="Calibri" w:cs="Calibri"/>
          <w:b/>
          <w:color w:val="000000"/>
          <w:u w:val="single"/>
          <w:bdr w:val="none" w:sz="0" w:space="0" w:color="auto" w:frame="1"/>
          <w:lang w:eastAsia="it-IT"/>
        </w:rPr>
        <w:t>rendicont</w:t>
      </w:r>
      <w:r w:rsidR="003F1193" w:rsidRPr="003F1193">
        <w:rPr>
          <w:rFonts w:ascii="Calibri" w:eastAsia="Times New Roman" w:hAnsi="Calibri" w:cs="Calibri"/>
          <w:b/>
          <w:color w:val="000000"/>
          <w:u w:val="single"/>
          <w:bdr w:val="none" w:sz="0" w:space="0" w:color="auto" w:frame="1"/>
          <w:lang w:eastAsia="it-IT"/>
        </w:rPr>
        <w:t xml:space="preserve">azione di contratti PPP/EPC </w:t>
      </w:r>
      <w:r w:rsidR="007B56DA">
        <w:rPr>
          <w:rFonts w:ascii="Calibri" w:eastAsia="Times New Roman" w:hAnsi="Calibri" w:cs="Calibri"/>
          <w:b/>
          <w:color w:val="000000"/>
          <w:u w:val="single"/>
          <w:bdr w:val="none" w:sz="0" w:space="0" w:color="auto" w:frame="1"/>
          <w:lang w:eastAsia="it-IT"/>
        </w:rPr>
        <w:t>attiv</w:t>
      </w:r>
      <w:r w:rsidR="003F1193" w:rsidRPr="003F1193">
        <w:rPr>
          <w:rFonts w:ascii="Calibri" w:eastAsia="Times New Roman" w:hAnsi="Calibri" w:cs="Calibri"/>
          <w:b/>
          <w:color w:val="000000"/>
          <w:u w:val="single"/>
          <w:bdr w:val="none" w:sz="0" w:space="0" w:color="auto" w:frame="1"/>
          <w:lang w:eastAsia="it-IT"/>
        </w:rPr>
        <w:t xml:space="preserve">ati sui bandi di efficientamento energetico </w:t>
      </w:r>
      <w:r>
        <w:rPr>
          <w:rFonts w:ascii="Calibri" w:eastAsia="Times New Roman" w:hAnsi="Calibri" w:cs="Calibri"/>
          <w:b/>
          <w:color w:val="000000"/>
          <w:u w:val="single"/>
          <w:bdr w:val="none" w:sz="0" w:space="0" w:color="auto" w:frame="1"/>
          <w:lang w:eastAsia="it-IT"/>
        </w:rPr>
        <w:t>degli edifici pubblici</w:t>
      </w:r>
    </w:p>
    <w:p w14:paraId="7C542B1E" w14:textId="77777777" w:rsidR="003F1193" w:rsidRDefault="003F1193" w:rsidP="004E27A3">
      <w:pPr>
        <w:shd w:val="clear" w:color="auto" w:fill="FFFFFF"/>
        <w:spacing w:after="0" w:line="240" w:lineRule="auto"/>
        <w:rPr>
          <w:rFonts w:ascii="Calibri" w:eastAsia="Times New Roman" w:hAnsi="Calibri" w:cs="Calibri"/>
          <w:color w:val="000000"/>
          <w:bdr w:val="none" w:sz="0" w:space="0" w:color="auto" w:frame="1"/>
          <w:lang w:eastAsia="it-IT"/>
        </w:rPr>
      </w:pPr>
    </w:p>
    <w:p w14:paraId="440713B0" w14:textId="77777777" w:rsidR="004E27A3" w:rsidRDefault="004E27A3" w:rsidP="00B20F67">
      <w:pPr>
        <w:shd w:val="clear" w:color="auto" w:fill="FFFFFF"/>
        <w:spacing w:after="0" w:line="240" w:lineRule="auto"/>
        <w:rPr>
          <w:rFonts w:ascii="Calibri" w:eastAsia="Times New Roman" w:hAnsi="Calibri" w:cs="Calibri"/>
          <w:color w:val="000000"/>
          <w:bdr w:val="none" w:sz="0" w:space="0" w:color="auto" w:frame="1"/>
          <w:lang w:eastAsia="it-IT"/>
        </w:rPr>
      </w:pPr>
      <w:r w:rsidRPr="004E27A3">
        <w:rPr>
          <w:rFonts w:ascii="Calibri" w:eastAsia="Times New Roman" w:hAnsi="Calibri" w:cs="Calibri"/>
          <w:color w:val="000000"/>
          <w:bdr w:val="none" w:sz="0" w:space="0" w:color="auto" w:frame="1"/>
          <w:lang w:eastAsia="it-IT"/>
        </w:rPr>
        <w:t>Premesso che</w:t>
      </w:r>
      <w:r w:rsidR="00B20F67">
        <w:rPr>
          <w:rFonts w:ascii="Calibri" w:eastAsia="Times New Roman" w:hAnsi="Calibri" w:cs="Calibri"/>
          <w:color w:val="000000"/>
          <w:bdr w:val="none" w:sz="0" w:space="0" w:color="auto" w:frame="1"/>
          <w:lang w:eastAsia="it-IT"/>
        </w:rPr>
        <w:t xml:space="preserve"> </w:t>
      </w:r>
      <w:r w:rsidRPr="004E27A3">
        <w:rPr>
          <w:rFonts w:ascii="Calibri" w:eastAsia="Times New Roman" w:hAnsi="Calibri" w:cs="Calibri"/>
          <w:color w:val="000000"/>
          <w:bdr w:val="none" w:sz="0" w:space="0" w:color="auto" w:frame="1"/>
          <w:lang w:eastAsia="it-IT"/>
        </w:rPr>
        <w:t>nell’ambito dei bandi di riqualificazione energetica degli edifici pubblici</w:t>
      </w:r>
      <w:r w:rsidR="00D727E4">
        <w:rPr>
          <w:rFonts w:ascii="Calibri" w:eastAsia="Times New Roman" w:hAnsi="Calibri" w:cs="Calibri"/>
          <w:color w:val="000000"/>
          <w:bdr w:val="none" w:sz="0" w:space="0" w:color="auto" w:frame="1"/>
          <w:lang w:eastAsia="it-IT"/>
        </w:rPr>
        <w:t xml:space="preserve"> 2016 e 2017</w:t>
      </w:r>
      <w:r w:rsidRPr="004E27A3">
        <w:rPr>
          <w:rFonts w:ascii="Calibri" w:eastAsia="Times New Roman" w:hAnsi="Calibri" w:cs="Calibri"/>
          <w:color w:val="000000"/>
          <w:bdr w:val="none" w:sz="0" w:space="0" w:color="auto" w:frame="1"/>
          <w:lang w:eastAsia="it-IT"/>
        </w:rPr>
        <w:t xml:space="preserve"> è stato previsto il ricorso ai contratti EPC (</w:t>
      </w:r>
      <w:r w:rsidR="00300AF1">
        <w:rPr>
          <w:rFonts w:ascii="Calibri" w:eastAsia="Times New Roman" w:hAnsi="Calibri" w:cs="Calibri"/>
          <w:color w:val="000000"/>
          <w:bdr w:val="none" w:sz="0" w:space="0" w:color="auto" w:frame="1"/>
          <w:lang w:eastAsia="it-IT"/>
        </w:rPr>
        <w:t>E</w:t>
      </w:r>
      <w:r w:rsidRPr="004E27A3">
        <w:rPr>
          <w:rFonts w:ascii="Calibri" w:eastAsia="Times New Roman" w:hAnsi="Calibri" w:cs="Calibri"/>
          <w:color w:val="000000"/>
          <w:bdr w:val="none" w:sz="0" w:space="0" w:color="auto" w:frame="1"/>
          <w:lang w:eastAsia="it-IT"/>
        </w:rPr>
        <w:t xml:space="preserve">nergy </w:t>
      </w:r>
      <w:r w:rsidR="00300AF1">
        <w:rPr>
          <w:rFonts w:ascii="Calibri" w:eastAsia="Times New Roman" w:hAnsi="Calibri" w:cs="Calibri"/>
          <w:color w:val="000000"/>
          <w:bdr w:val="none" w:sz="0" w:space="0" w:color="auto" w:frame="1"/>
          <w:lang w:eastAsia="it-IT"/>
        </w:rPr>
        <w:t>P</w:t>
      </w:r>
      <w:r w:rsidRPr="004E27A3">
        <w:rPr>
          <w:rFonts w:ascii="Calibri" w:eastAsia="Times New Roman" w:hAnsi="Calibri" w:cs="Calibri"/>
          <w:color w:val="000000"/>
          <w:bdr w:val="none" w:sz="0" w:space="0" w:color="auto" w:frame="1"/>
          <w:lang w:eastAsia="it-IT"/>
        </w:rPr>
        <w:t xml:space="preserve">erformance </w:t>
      </w:r>
      <w:proofErr w:type="spellStart"/>
      <w:r w:rsidR="00300AF1">
        <w:rPr>
          <w:rFonts w:ascii="Calibri" w:eastAsia="Times New Roman" w:hAnsi="Calibri" w:cs="Calibri"/>
          <w:color w:val="000000"/>
          <w:bdr w:val="none" w:sz="0" w:space="0" w:color="auto" w:frame="1"/>
          <w:lang w:eastAsia="it-IT"/>
        </w:rPr>
        <w:t>C</w:t>
      </w:r>
      <w:r w:rsidRPr="004E27A3">
        <w:rPr>
          <w:rFonts w:ascii="Calibri" w:eastAsia="Times New Roman" w:hAnsi="Calibri" w:cs="Calibri"/>
          <w:color w:val="000000"/>
          <w:bdr w:val="none" w:sz="0" w:space="0" w:color="auto" w:frame="1"/>
          <w:lang w:eastAsia="it-IT"/>
        </w:rPr>
        <w:t>ontract</w:t>
      </w:r>
      <w:proofErr w:type="spellEnd"/>
      <w:r w:rsidR="00300AF1">
        <w:rPr>
          <w:rFonts w:ascii="Calibri" w:eastAsia="Times New Roman" w:hAnsi="Calibri" w:cs="Calibri"/>
          <w:color w:val="000000"/>
          <w:bdr w:val="none" w:sz="0" w:space="0" w:color="auto" w:frame="1"/>
          <w:lang w:eastAsia="it-IT"/>
        </w:rPr>
        <w:t>)</w:t>
      </w:r>
      <w:r w:rsidR="00B20F67">
        <w:rPr>
          <w:rFonts w:ascii="Calibri" w:eastAsia="Times New Roman" w:hAnsi="Calibri" w:cs="Calibri"/>
          <w:color w:val="000000"/>
          <w:bdr w:val="none" w:sz="0" w:space="0" w:color="auto" w:frame="1"/>
          <w:lang w:eastAsia="it-IT"/>
        </w:rPr>
        <w:t>.</w:t>
      </w:r>
    </w:p>
    <w:p w14:paraId="5E8B0F18" w14:textId="77777777" w:rsidR="00BB2255" w:rsidRPr="004E27A3" w:rsidRDefault="00BB2255" w:rsidP="00B20F67">
      <w:pPr>
        <w:shd w:val="clear" w:color="auto" w:fill="FFFFFF"/>
        <w:spacing w:after="0" w:line="240" w:lineRule="auto"/>
        <w:rPr>
          <w:rFonts w:ascii="Calibri" w:eastAsia="Times New Roman" w:hAnsi="Calibri" w:cs="Calibri"/>
          <w:color w:val="000000"/>
          <w:bdr w:val="none" w:sz="0" w:space="0" w:color="auto" w:frame="1"/>
          <w:lang w:eastAsia="it-IT"/>
        </w:rPr>
      </w:pPr>
    </w:p>
    <w:p w14:paraId="17CEE27D" w14:textId="77777777" w:rsidR="004E27A3" w:rsidRPr="004E27A3" w:rsidRDefault="00300AF1" w:rsidP="00A81F3D">
      <w:pPr>
        <w:shd w:val="clear" w:color="auto" w:fill="FFFFFF"/>
        <w:spacing w:after="0" w:line="240" w:lineRule="auto"/>
        <w:jc w:val="both"/>
        <w:rPr>
          <w:rFonts w:ascii="Calibri" w:eastAsia="Times New Roman" w:hAnsi="Calibri" w:cs="Calibri"/>
          <w:color w:val="000000"/>
          <w:bdr w:val="none" w:sz="0" w:space="0" w:color="auto" w:frame="1"/>
          <w:lang w:eastAsia="it-IT"/>
        </w:rPr>
      </w:pPr>
      <w:r>
        <w:rPr>
          <w:rFonts w:ascii="Calibri" w:eastAsia="Times New Roman" w:hAnsi="Calibri" w:cs="Calibri"/>
          <w:color w:val="000000"/>
          <w:bdr w:val="none" w:sz="0" w:space="0" w:color="auto" w:frame="1"/>
          <w:lang w:eastAsia="it-IT"/>
        </w:rPr>
        <w:t>Dato atto che tale tipologia contrattuale</w:t>
      </w:r>
      <w:r w:rsidR="00BB2255">
        <w:rPr>
          <w:rFonts w:ascii="Calibri" w:eastAsia="Times New Roman" w:hAnsi="Calibri" w:cs="Calibri"/>
          <w:color w:val="000000"/>
          <w:bdr w:val="none" w:sz="0" w:space="0" w:color="auto" w:frame="1"/>
          <w:lang w:eastAsia="it-IT"/>
        </w:rPr>
        <w:t>, sempre più diffusa nell’ambito di realizzazione di interventi di natura energetica, può</w:t>
      </w:r>
      <w:r w:rsidR="004E27A3" w:rsidRPr="004E27A3">
        <w:rPr>
          <w:rFonts w:ascii="Calibri" w:eastAsia="Times New Roman" w:hAnsi="Calibri" w:cs="Calibri"/>
          <w:color w:val="000000"/>
          <w:bdr w:val="none" w:sz="0" w:space="0" w:color="auto" w:frame="1"/>
          <w:lang w:eastAsia="it-IT"/>
        </w:rPr>
        <w:t xml:space="preserve"> essere affidat</w:t>
      </w:r>
      <w:r w:rsidR="00BB2255">
        <w:rPr>
          <w:rFonts w:ascii="Calibri" w:eastAsia="Times New Roman" w:hAnsi="Calibri" w:cs="Calibri"/>
          <w:color w:val="000000"/>
          <w:bdr w:val="none" w:sz="0" w:space="0" w:color="auto" w:frame="1"/>
          <w:lang w:eastAsia="it-IT"/>
        </w:rPr>
        <w:t>a</w:t>
      </w:r>
      <w:r w:rsidR="004E27A3" w:rsidRPr="004E27A3">
        <w:rPr>
          <w:rFonts w:ascii="Calibri" w:eastAsia="Times New Roman" w:hAnsi="Calibri" w:cs="Calibri"/>
          <w:color w:val="000000"/>
          <w:bdr w:val="none" w:sz="0" w:space="0" w:color="auto" w:frame="1"/>
          <w:lang w:eastAsia="it-IT"/>
        </w:rPr>
        <w:t xml:space="preserve"> </w:t>
      </w:r>
      <w:r w:rsidR="00BB2255" w:rsidRPr="004E27A3">
        <w:rPr>
          <w:rFonts w:ascii="Calibri" w:eastAsia="Times New Roman" w:hAnsi="Calibri" w:cs="Calibri"/>
          <w:color w:val="000000"/>
          <w:bdr w:val="none" w:sz="0" w:space="0" w:color="auto" w:frame="1"/>
          <w:lang w:eastAsia="it-IT"/>
        </w:rPr>
        <w:t xml:space="preserve">o mediante il ricorso a forme di partenariato pubblico privato (PPP) </w:t>
      </w:r>
      <w:r w:rsidR="004E27A3" w:rsidRPr="004E27A3">
        <w:rPr>
          <w:rFonts w:ascii="Calibri" w:eastAsia="Times New Roman" w:hAnsi="Calibri" w:cs="Calibri"/>
          <w:color w:val="000000"/>
          <w:bdr w:val="none" w:sz="0" w:space="0" w:color="auto" w:frame="1"/>
          <w:lang w:eastAsia="it-IT"/>
        </w:rPr>
        <w:t>o tramite procedure di appalto (</w:t>
      </w:r>
      <w:r w:rsidR="00BB2255">
        <w:rPr>
          <w:rFonts w:ascii="Calibri" w:eastAsia="Times New Roman" w:hAnsi="Calibri" w:cs="Calibri"/>
          <w:color w:val="000000"/>
          <w:bdr w:val="none" w:sz="0" w:space="0" w:color="auto" w:frame="1"/>
          <w:lang w:eastAsia="it-IT"/>
        </w:rPr>
        <w:t xml:space="preserve">di servizi, o, </w:t>
      </w:r>
      <w:r w:rsidR="004E27A3" w:rsidRPr="004E27A3">
        <w:rPr>
          <w:rFonts w:ascii="Calibri" w:eastAsia="Times New Roman" w:hAnsi="Calibri" w:cs="Calibri"/>
          <w:color w:val="000000"/>
          <w:bdr w:val="none" w:sz="0" w:space="0" w:color="auto" w:frame="1"/>
          <w:lang w:eastAsia="it-IT"/>
        </w:rPr>
        <w:t>in genere</w:t>
      </w:r>
      <w:r w:rsidR="00BB2255">
        <w:rPr>
          <w:rFonts w:ascii="Calibri" w:eastAsia="Times New Roman" w:hAnsi="Calibri" w:cs="Calibri"/>
          <w:color w:val="000000"/>
          <w:bdr w:val="none" w:sz="0" w:space="0" w:color="auto" w:frame="1"/>
          <w:lang w:eastAsia="it-IT"/>
        </w:rPr>
        <w:t>,</w:t>
      </w:r>
      <w:r w:rsidR="004E27A3" w:rsidRPr="004E27A3">
        <w:rPr>
          <w:rFonts w:ascii="Calibri" w:eastAsia="Times New Roman" w:hAnsi="Calibri" w:cs="Calibri"/>
          <w:color w:val="000000"/>
          <w:bdr w:val="none" w:sz="0" w:space="0" w:color="auto" w:frame="1"/>
          <w:lang w:eastAsia="it-IT"/>
        </w:rPr>
        <w:t xml:space="preserve"> misti di servizi e lavori) e che, in entrambi i casi, per la peculiarità di tali contratti, il beneficiario del contributo non sostiene, a lavori ultimati, i costi della realizzazione ma questi vengono ripagati mediante canoni periodici per la durata contrattuale.</w:t>
      </w:r>
    </w:p>
    <w:p w14:paraId="76D395EC" w14:textId="77777777" w:rsidR="004E27A3" w:rsidRPr="004E27A3" w:rsidRDefault="004E27A3" w:rsidP="00A81F3D">
      <w:pPr>
        <w:shd w:val="clear" w:color="auto" w:fill="FFFFFF"/>
        <w:spacing w:after="0" w:line="240" w:lineRule="auto"/>
        <w:jc w:val="both"/>
        <w:rPr>
          <w:rFonts w:ascii="Calibri" w:eastAsia="Times New Roman" w:hAnsi="Calibri" w:cs="Calibri"/>
          <w:color w:val="000000"/>
          <w:bdr w:val="none" w:sz="0" w:space="0" w:color="auto" w:frame="1"/>
          <w:lang w:eastAsia="it-IT"/>
        </w:rPr>
      </w:pPr>
      <w:r w:rsidRPr="004E27A3">
        <w:rPr>
          <w:rFonts w:ascii="Calibri" w:eastAsia="Times New Roman" w:hAnsi="Calibri" w:cs="Calibri"/>
          <w:color w:val="000000"/>
          <w:bdr w:val="none" w:sz="0" w:space="0" w:color="auto" w:frame="1"/>
          <w:lang w:eastAsia="it-IT"/>
        </w:rPr>
        <w:t> </w:t>
      </w:r>
    </w:p>
    <w:p w14:paraId="2E2B67A3" w14:textId="77777777" w:rsidR="0067648A" w:rsidRDefault="00BB2255" w:rsidP="00A81F3D">
      <w:pPr>
        <w:shd w:val="clear" w:color="auto" w:fill="FFFFFF"/>
        <w:spacing w:after="0" w:line="240" w:lineRule="auto"/>
        <w:jc w:val="both"/>
        <w:rPr>
          <w:rFonts w:ascii="Calibri" w:eastAsia="Times New Roman" w:hAnsi="Calibri" w:cs="Calibri"/>
          <w:color w:val="000000"/>
          <w:bdr w:val="none" w:sz="0" w:space="0" w:color="auto" w:frame="1"/>
          <w:lang w:eastAsia="it-IT"/>
        </w:rPr>
      </w:pPr>
      <w:r>
        <w:rPr>
          <w:rFonts w:ascii="Calibri" w:eastAsia="Times New Roman" w:hAnsi="Calibri" w:cs="Calibri"/>
          <w:color w:val="000000"/>
          <w:bdr w:val="none" w:sz="0" w:space="0" w:color="auto" w:frame="1"/>
          <w:lang w:eastAsia="it-IT"/>
        </w:rPr>
        <w:t>Considerato che la documentazione da presentare in sede di rendicontazione da parte del beneficiario nel caso di attivazione di PPP è differente da quella nel caso di appalto, con le presenti linee guida si intende dettagliare la documentazione da produrre a supporto per l’ottenimento del contributo POR FESR spettante</w:t>
      </w:r>
      <w:r w:rsidR="0067648A">
        <w:rPr>
          <w:rFonts w:ascii="Calibri" w:eastAsia="Times New Roman" w:hAnsi="Calibri" w:cs="Calibri"/>
          <w:color w:val="000000"/>
          <w:bdr w:val="none" w:sz="0" w:space="0" w:color="auto" w:frame="1"/>
          <w:lang w:eastAsia="it-IT"/>
        </w:rPr>
        <w:t>.</w:t>
      </w:r>
    </w:p>
    <w:p w14:paraId="52339714" w14:textId="77777777" w:rsidR="0067648A" w:rsidRDefault="0067648A" w:rsidP="00A81F3D">
      <w:pPr>
        <w:shd w:val="clear" w:color="auto" w:fill="FFFFFF"/>
        <w:spacing w:after="0" w:line="240" w:lineRule="auto"/>
        <w:jc w:val="both"/>
        <w:rPr>
          <w:rFonts w:ascii="Calibri" w:eastAsia="Times New Roman" w:hAnsi="Calibri" w:cs="Calibri"/>
          <w:color w:val="000000"/>
          <w:bdr w:val="none" w:sz="0" w:space="0" w:color="auto" w:frame="1"/>
          <w:lang w:eastAsia="it-IT"/>
        </w:rPr>
      </w:pPr>
    </w:p>
    <w:p w14:paraId="2037C351" w14:textId="77777777" w:rsidR="0067648A" w:rsidRPr="0067648A" w:rsidRDefault="0067648A" w:rsidP="0067648A">
      <w:pPr>
        <w:shd w:val="clear" w:color="auto" w:fill="FFFFFF"/>
        <w:spacing w:after="0" w:line="240" w:lineRule="auto"/>
        <w:rPr>
          <w:rFonts w:ascii="Calibri" w:eastAsia="Times New Roman" w:hAnsi="Calibri" w:cs="Calibri"/>
          <w:color w:val="000000"/>
          <w:lang w:eastAsia="it-IT"/>
        </w:rPr>
      </w:pPr>
      <w:r w:rsidRPr="0067648A">
        <w:rPr>
          <w:rFonts w:ascii="Calibri" w:eastAsia="Times New Roman" w:hAnsi="Calibri" w:cs="Calibri"/>
          <w:color w:val="000000"/>
          <w:lang w:eastAsia="it-IT"/>
        </w:rPr>
        <w:t> </w:t>
      </w:r>
    </w:p>
    <w:p w14:paraId="164CC73B" w14:textId="77777777" w:rsidR="004E27A3" w:rsidRDefault="004E27A3" w:rsidP="00A81F3D">
      <w:pPr>
        <w:shd w:val="clear" w:color="auto" w:fill="FFFFFF"/>
        <w:spacing w:after="0" w:line="240" w:lineRule="auto"/>
        <w:jc w:val="both"/>
        <w:rPr>
          <w:rFonts w:ascii="Calibri" w:eastAsia="Times New Roman" w:hAnsi="Calibri" w:cs="Calibri"/>
          <w:color w:val="000000"/>
          <w:bdr w:val="none" w:sz="0" w:space="0" w:color="auto" w:frame="1"/>
          <w:lang w:eastAsia="it-IT"/>
        </w:rPr>
      </w:pPr>
      <w:r w:rsidRPr="004874E8">
        <w:rPr>
          <w:rFonts w:ascii="Calibri" w:eastAsia="Times New Roman" w:hAnsi="Calibri" w:cs="Calibri"/>
          <w:b/>
          <w:color w:val="000000"/>
          <w:u w:val="single"/>
          <w:bdr w:val="none" w:sz="0" w:space="0" w:color="auto" w:frame="1"/>
          <w:lang w:eastAsia="it-IT"/>
        </w:rPr>
        <w:t>CASO 1) PPP</w:t>
      </w:r>
      <w:r w:rsidRPr="00A81F3D">
        <w:rPr>
          <w:rFonts w:ascii="Calibri" w:eastAsia="Times New Roman" w:hAnsi="Calibri" w:cs="Calibri"/>
          <w:color w:val="000000"/>
          <w:bdr w:val="none" w:sz="0" w:space="0" w:color="auto" w:frame="1"/>
          <w:lang w:eastAsia="it-IT"/>
        </w:rPr>
        <w:t xml:space="preserve"> </w:t>
      </w:r>
      <w:r w:rsidR="00F30773" w:rsidRPr="00A81F3D">
        <w:rPr>
          <w:rFonts w:ascii="Calibri" w:eastAsia="Times New Roman" w:hAnsi="Calibri" w:cs="Calibri"/>
          <w:color w:val="000000"/>
          <w:bdr w:val="none" w:sz="0" w:space="0" w:color="auto" w:frame="1"/>
          <w:lang w:eastAsia="it-IT"/>
        </w:rPr>
        <w:t>(allocazione del rischio dell’investimento al soggetto privato)</w:t>
      </w:r>
    </w:p>
    <w:p w14:paraId="1A83DCE1" w14:textId="77777777" w:rsidR="00BB2255" w:rsidRDefault="00BB2255" w:rsidP="00A81F3D">
      <w:pPr>
        <w:shd w:val="clear" w:color="auto" w:fill="FFFFFF"/>
        <w:spacing w:after="0" w:line="240" w:lineRule="auto"/>
        <w:jc w:val="both"/>
        <w:rPr>
          <w:rFonts w:ascii="Calibri" w:eastAsia="Times New Roman" w:hAnsi="Calibri" w:cs="Calibri"/>
          <w:color w:val="000000"/>
          <w:bdr w:val="none" w:sz="0" w:space="0" w:color="auto" w:frame="1"/>
          <w:lang w:eastAsia="it-IT"/>
        </w:rPr>
      </w:pPr>
    </w:p>
    <w:p w14:paraId="4FBD714A" w14:textId="77777777" w:rsidR="00BB2255" w:rsidRPr="0067648A" w:rsidRDefault="00BB2255" w:rsidP="00E11AE8">
      <w:pPr>
        <w:shd w:val="clear" w:color="auto" w:fill="FFFFFF"/>
        <w:spacing w:after="0" w:line="240" w:lineRule="auto"/>
        <w:jc w:val="both"/>
        <w:rPr>
          <w:rFonts w:ascii="Calibri" w:eastAsia="Times New Roman" w:hAnsi="Calibri" w:cs="Calibri"/>
          <w:color w:val="000000"/>
          <w:bdr w:val="none" w:sz="0" w:space="0" w:color="auto" w:frame="1"/>
          <w:lang w:eastAsia="it-IT"/>
        </w:rPr>
      </w:pPr>
      <w:r w:rsidRPr="0067648A">
        <w:rPr>
          <w:rFonts w:ascii="Calibri" w:eastAsia="Times New Roman" w:hAnsi="Calibri" w:cs="Calibri"/>
          <w:color w:val="000000"/>
          <w:bdr w:val="none" w:sz="0" w:space="0" w:color="auto" w:frame="1"/>
          <w:lang w:eastAsia="it-IT"/>
        </w:rPr>
        <w:t>In caso di PPP il Regolamento UE 1303/2013 prevede all’art. 64 le modalità di rendicontazione consentendo la possibilità di considerare le spese del privato come se fossero sostenute dal beneficiario</w:t>
      </w:r>
      <w:r w:rsidRPr="0067648A">
        <w:rPr>
          <w:rStyle w:val="Rimandonotaapidipagina"/>
          <w:rFonts w:ascii="Calibri" w:eastAsia="Times New Roman" w:hAnsi="Calibri" w:cs="Calibri"/>
          <w:color w:val="000000"/>
          <w:bdr w:val="none" w:sz="0" w:space="0" w:color="auto" w:frame="1"/>
          <w:lang w:eastAsia="it-IT"/>
        </w:rPr>
        <w:footnoteReference w:id="1"/>
      </w:r>
      <w:r w:rsidRPr="0067648A">
        <w:rPr>
          <w:rFonts w:ascii="Calibri" w:eastAsia="Times New Roman" w:hAnsi="Calibri" w:cs="Calibri"/>
          <w:color w:val="000000"/>
          <w:bdr w:val="none" w:sz="0" w:space="0" w:color="auto" w:frame="1"/>
          <w:lang w:eastAsia="it-IT"/>
        </w:rPr>
        <w:t>.</w:t>
      </w:r>
    </w:p>
    <w:p w14:paraId="31AFFDA6" w14:textId="77777777" w:rsidR="0067648A" w:rsidRPr="0067648A" w:rsidRDefault="0067648A" w:rsidP="00E11AE8">
      <w:pPr>
        <w:shd w:val="clear" w:color="auto" w:fill="FFFFFF"/>
        <w:spacing w:after="0" w:line="240" w:lineRule="auto"/>
        <w:jc w:val="both"/>
        <w:rPr>
          <w:rFonts w:ascii="Calibri" w:eastAsia="Times New Roman" w:hAnsi="Calibri" w:cs="Calibri"/>
          <w:color w:val="000000"/>
          <w:bdr w:val="none" w:sz="0" w:space="0" w:color="auto" w:frame="1"/>
          <w:lang w:eastAsia="it-IT"/>
        </w:rPr>
      </w:pPr>
    </w:p>
    <w:p w14:paraId="47A29402" w14:textId="77777777" w:rsidR="0067648A" w:rsidRDefault="0067648A" w:rsidP="00E11AE8">
      <w:pPr>
        <w:shd w:val="clear" w:color="auto" w:fill="FFFFFF"/>
        <w:spacing w:after="0" w:line="240" w:lineRule="auto"/>
        <w:jc w:val="both"/>
        <w:rPr>
          <w:rFonts w:ascii="Calibri" w:eastAsia="Times New Roman" w:hAnsi="Calibri" w:cs="Calibri"/>
          <w:color w:val="000000"/>
          <w:lang w:eastAsia="it-IT"/>
        </w:rPr>
      </w:pPr>
      <w:r w:rsidRPr="0067648A">
        <w:rPr>
          <w:rFonts w:ascii="Calibri" w:eastAsia="Times New Roman" w:hAnsi="Calibri" w:cs="Calibri"/>
          <w:color w:val="000000"/>
          <w:lang w:eastAsia="it-IT"/>
        </w:rPr>
        <w:t xml:space="preserve">Di norma il beneficiario è il soggetto pubblico responsabile dell’avvio dell’operazione e la spesa ammissibile è quella pagata da lui al partner privato (cfr. art. 65 comma 2 del Regolamento UE 1303/2013). In questo caso </w:t>
      </w:r>
      <w:r>
        <w:rPr>
          <w:rFonts w:ascii="Calibri" w:eastAsia="Times New Roman" w:hAnsi="Calibri" w:cs="Calibri"/>
          <w:color w:val="000000"/>
          <w:lang w:eastAsia="it-IT"/>
        </w:rPr>
        <w:t>non</w:t>
      </w:r>
      <w:r w:rsidRPr="0067648A">
        <w:rPr>
          <w:rFonts w:ascii="Calibri" w:eastAsia="Times New Roman" w:hAnsi="Calibri" w:cs="Calibri"/>
          <w:color w:val="000000"/>
          <w:lang w:eastAsia="it-IT"/>
        </w:rPr>
        <w:t xml:space="preserve"> si applica l’art. 64 del medesimo Regolamento che contiene la disposizione sul conto di garanzia. Mentre nel caso il soggetto pubblico decida di candidare la spesa effettuata dal partner privato (cfr. art. 64 comma 1), pur rimanendo il soggetto pubblico beneficiario, si deve applicare l’art. 64.</w:t>
      </w:r>
    </w:p>
    <w:p w14:paraId="4314EE3D" w14:textId="77777777" w:rsidR="00E11AE8" w:rsidRDefault="00E11AE8" w:rsidP="00E11AE8">
      <w:pPr>
        <w:shd w:val="clear" w:color="auto" w:fill="FFFFFF"/>
        <w:spacing w:after="0" w:line="240" w:lineRule="auto"/>
        <w:jc w:val="both"/>
        <w:rPr>
          <w:rFonts w:ascii="Calibri" w:eastAsia="Times New Roman" w:hAnsi="Calibri" w:cs="Calibri"/>
          <w:color w:val="000000"/>
          <w:lang w:eastAsia="it-IT"/>
        </w:rPr>
      </w:pPr>
    </w:p>
    <w:p w14:paraId="15046803" w14:textId="77777777" w:rsidR="00E11AE8" w:rsidRPr="0067648A" w:rsidRDefault="00E11AE8" w:rsidP="00E11AE8">
      <w:pPr>
        <w:shd w:val="clear" w:color="auto" w:fill="FFFFFF"/>
        <w:spacing w:after="0" w:line="240" w:lineRule="auto"/>
        <w:jc w:val="both"/>
        <w:rPr>
          <w:rFonts w:ascii="Calibri" w:eastAsia="Times New Roman" w:hAnsi="Calibri" w:cs="Calibri"/>
          <w:color w:val="000000"/>
          <w:lang w:eastAsia="it-IT"/>
        </w:rPr>
      </w:pPr>
      <w:r w:rsidRPr="0067648A">
        <w:rPr>
          <w:rFonts w:ascii="Calibri" w:eastAsia="Times New Roman" w:hAnsi="Calibri" w:cs="Calibri"/>
          <w:color w:val="000000"/>
          <w:lang w:eastAsia="it-IT"/>
        </w:rPr>
        <w:t>Quando invece il beneficiario è</w:t>
      </w:r>
    </w:p>
    <w:p w14:paraId="65170A5D" w14:textId="77777777" w:rsidR="00E11AE8" w:rsidRPr="0067648A" w:rsidRDefault="00E11AE8" w:rsidP="00E11AE8">
      <w:pPr>
        <w:shd w:val="clear" w:color="auto" w:fill="FFFFFF"/>
        <w:spacing w:after="0" w:line="240" w:lineRule="auto"/>
        <w:ind w:left="720" w:hanging="360"/>
        <w:jc w:val="both"/>
        <w:rPr>
          <w:rFonts w:ascii="Calibri" w:eastAsia="Times New Roman" w:hAnsi="Calibri" w:cs="Calibri"/>
          <w:color w:val="000000"/>
          <w:lang w:eastAsia="it-IT"/>
        </w:rPr>
      </w:pPr>
      <w:r w:rsidRPr="0067648A">
        <w:rPr>
          <w:rFonts w:ascii="Calibri" w:eastAsia="Times New Roman" w:hAnsi="Calibri" w:cs="Calibri"/>
          <w:color w:val="000000"/>
          <w:lang w:eastAsia="it-IT"/>
        </w:rPr>
        <w:t>1)     ab origine il partner privato (art. 63 comma 1 lettera b “un organismo di diritto privato di uno Stato membro (il "partner privato") che è o deve essere selezionato per l'esecuzione dell'operazione”)</w:t>
      </w:r>
    </w:p>
    <w:p w14:paraId="3FF5725E" w14:textId="77777777" w:rsidR="00E11AE8" w:rsidRPr="0067648A" w:rsidRDefault="00E11AE8" w:rsidP="00E11AE8">
      <w:pPr>
        <w:shd w:val="clear" w:color="auto" w:fill="FFFFFF"/>
        <w:spacing w:after="0" w:line="240" w:lineRule="auto"/>
        <w:ind w:left="720" w:hanging="360"/>
        <w:jc w:val="both"/>
        <w:rPr>
          <w:rFonts w:ascii="Calibri" w:eastAsia="Times New Roman" w:hAnsi="Calibri" w:cs="Calibri"/>
          <w:color w:val="000000"/>
          <w:lang w:eastAsia="it-IT"/>
        </w:rPr>
      </w:pPr>
      <w:r w:rsidRPr="0067648A">
        <w:rPr>
          <w:rFonts w:ascii="Calibri" w:eastAsia="Times New Roman" w:hAnsi="Calibri" w:cs="Calibri"/>
          <w:color w:val="000000"/>
          <w:lang w:eastAsia="it-IT"/>
        </w:rPr>
        <w:t>2)     individuato come tale dopo l’approvazione dell’operazione (art. 63 comma 1 lettera b “un organismo di diritto privato di uno Stato membro (il "partner privato") che è o deve essere selezionato per l'esecuzione dell'operazione” e art. 63 comma 2)</w:t>
      </w:r>
    </w:p>
    <w:p w14:paraId="46315F28" w14:textId="77777777" w:rsidR="00E11AE8" w:rsidRPr="0067648A" w:rsidRDefault="00E11AE8" w:rsidP="00E11AE8">
      <w:pPr>
        <w:shd w:val="clear" w:color="auto" w:fill="FFFFFF"/>
        <w:spacing w:after="0" w:line="240" w:lineRule="auto"/>
        <w:jc w:val="both"/>
        <w:rPr>
          <w:rFonts w:ascii="Verdana" w:eastAsia="Times New Roman" w:hAnsi="Verdana" w:cs="Calibri"/>
          <w:color w:val="000000"/>
          <w:sz w:val="18"/>
          <w:szCs w:val="18"/>
          <w:bdr w:val="none" w:sz="0" w:space="0" w:color="auto" w:frame="1"/>
          <w:lang w:eastAsia="it-IT"/>
        </w:rPr>
      </w:pPr>
      <w:r w:rsidRPr="0067648A">
        <w:rPr>
          <w:rFonts w:ascii="Calibri" w:eastAsia="Times New Roman" w:hAnsi="Calibri" w:cs="Calibri"/>
          <w:color w:val="000000"/>
          <w:lang w:eastAsia="it-IT"/>
        </w:rPr>
        <w:t> </w:t>
      </w:r>
      <w:r w:rsidRPr="0067648A">
        <w:rPr>
          <w:rFonts w:ascii="Verdana" w:eastAsia="Times New Roman" w:hAnsi="Verdana" w:cs="Calibri"/>
          <w:color w:val="000000"/>
          <w:sz w:val="18"/>
          <w:szCs w:val="18"/>
          <w:bdr w:val="none" w:sz="0" w:space="0" w:color="auto" w:frame="1"/>
          <w:lang w:eastAsia="it-IT"/>
        </w:rPr>
        <w:t>allora si deve applicare sempre l’art. 64.</w:t>
      </w:r>
    </w:p>
    <w:p w14:paraId="6F1C67A8" w14:textId="77777777" w:rsidR="00E11AE8" w:rsidRPr="0067648A" w:rsidRDefault="00E11AE8" w:rsidP="00E11AE8">
      <w:pPr>
        <w:shd w:val="clear" w:color="auto" w:fill="FFFFFF"/>
        <w:spacing w:after="0" w:line="240" w:lineRule="auto"/>
        <w:jc w:val="both"/>
        <w:rPr>
          <w:rFonts w:ascii="Calibri" w:eastAsia="Times New Roman" w:hAnsi="Calibri" w:cs="Calibri"/>
          <w:color w:val="000000"/>
          <w:lang w:eastAsia="it-IT"/>
        </w:rPr>
      </w:pPr>
      <w:r w:rsidRPr="0067648A">
        <w:rPr>
          <w:rFonts w:ascii="Calibri" w:eastAsia="Times New Roman" w:hAnsi="Calibri" w:cs="Calibri"/>
          <w:color w:val="000000"/>
          <w:lang w:eastAsia="it-IT"/>
        </w:rPr>
        <w:t> </w:t>
      </w:r>
    </w:p>
    <w:p w14:paraId="2FC187FA" w14:textId="77777777" w:rsidR="00E11AE8" w:rsidRDefault="00E11AE8" w:rsidP="00E11AE8">
      <w:pPr>
        <w:shd w:val="clear" w:color="auto" w:fill="FFFFFF"/>
        <w:spacing w:after="0" w:line="240" w:lineRule="auto"/>
        <w:jc w:val="both"/>
      </w:pPr>
      <w:r w:rsidRPr="0067648A">
        <w:rPr>
          <w:rFonts w:ascii="Calibri" w:eastAsia="Times New Roman" w:hAnsi="Calibri" w:cs="Calibri"/>
          <w:color w:val="000000"/>
          <w:lang w:eastAsia="it-IT"/>
        </w:rPr>
        <w:t>In tutti i casi ovviamente la procedura selettiva del partner privato, il contratto e quanto segue deve essere conforme al codice degli appalti</w:t>
      </w:r>
      <w:r>
        <w:rPr>
          <w:rFonts w:ascii="Calibri" w:eastAsia="Times New Roman" w:hAnsi="Calibri" w:cs="Calibri"/>
          <w:color w:val="000000"/>
          <w:lang w:eastAsia="it-IT"/>
        </w:rPr>
        <w:t>.</w:t>
      </w:r>
    </w:p>
    <w:p w14:paraId="2E8A43AF" w14:textId="77777777" w:rsidR="009E42DA" w:rsidRPr="0067648A" w:rsidRDefault="009E42DA" w:rsidP="00A81F3D">
      <w:pPr>
        <w:shd w:val="clear" w:color="auto" w:fill="FFFFFF"/>
        <w:spacing w:after="0" w:line="240" w:lineRule="auto"/>
        <w:jc w:val="both"/>
        <w:rPr>
          <w:rFonts w:ascii="Calibri" w:eastAsia="Times New Roman" w:hAnsi="Calibri" w:cs="Calibri"/>
          <w:color w:val="000000"/>
          <w:bdr w:val="none" w:sz="0" w:space="0" w:color="auto" w:frame="1"/>
          <w:lang w:eastAsia="it-IT"/>
        </w:rPr>
      </w:pPr>
    </w:p>
    <w:p w14:paraId="09535D74" w14:textId="77777777" w:rsidR="0067648A" w:rsidRPr="0067648A" w:rsidRDefault="0067648A" w:rsidP="00A81F3D">
      <w:pPr>
        <w:shd w:val="clear" w:color="auto" w:fill="FFFFFF"/>
        <w:spacing w:after="0" w:line="240" w:lineRule="auto"/>
        <w:jc w:val="both"/>
        <w:rPr>
          <w:rFonts w:ascii="Calibri" w:eastAsia="Times New Roman" w:hAnsi="Calibri" w:cs="Calibri"/>
          <w:color w:val="000000"/>
          <w:bdr w:val="none" w:sz="0" w:space="0" w:color="auto" w:frame="1"/>
          <w:lang w:eastAsia="it-IT"/>
        </w:rPr>
      </w:pPr>
      <w:r w:rsidRPr="0067648A">
        <w:rPr>
          <w:rFonts w:ascii="Calibri" w:eastAsia="Times New Roman" w:hAnsi="Calibri" w:cs="Calibri"/>
          <w:color w:val="000000"/>
          <w:bdr w:val="none" w:sz="0" w:space="0" w:color="auto" w:frame="1"/>
          <w:lang w:eastAsia="it-IT"/>
        </w:rPr>
        <w:t>A partire dall’adozione delle presenti linee guida, pertanto, il beneficiario che ha sottoscritto un accordo PPP ai sensi dell’art. 64 del Regolamento UE 1303/2013, confermando tale circostanza mediante apposita dichiarazione, è tenuto a comunicarlo al</w:t>
      </w:r>
      <w:r w:rsidR="00E11AE8">
        <w:rPr>
          <w:rFonts w:ascii="Calibri" w:eastAsia="Times New Roman" w:hAnsi="Calibri" w:cs="Calibri"/>
          <w:color w:val="000000"/>
          <w:bdr w:val="none" w:sz="0" w:space="0" w:color="auto" w:frame="1"/>
          <w:lang w:eastAsia="it-IT"/>
        </w:rPr>
        <w:t>la Regione Emilia-Romagna,</w:t>
      </w:r>
      <w:r w:rsidRPr="0067648A">
        <w:rPr>
          <w:rFonts w:ascii="Calibri" w:eastAsia="Times New Roman" w:hAnsi="Calibri" w:cs="Calibri"/>
          <w:color w:val="000000"/>
          <w:bdr w:val="none" w:sz="0" w:space="0" w:color="auto" w:frame="1"/>
          <w:lang w:eastAsia="it-IT"/>
        </w:rPr>
        <w:t xml:space="preserve"> Servizio Ricerca</w:t>
      </w:r>
      <w:r w:rsidR="00E11AE8">
        <w:rPr>
          <w:rFonts w:ascii="Calibri" w:eastAsia="Times New Roman" w:hAnsi="Calibri" w:cs="Calibri"/>
          <w:color w:val="000000"/>
          <w:bdr w:val="none" w:sz="0" w:space="0" w:color="auto" w:frame="1"/>
          <w:lang w:eastAsia="it-IT"/>
        </w:rPr>
        <w:t>,</w:t>
      </w:r>
      <w:r w:rsidRPr="0067648A">
        <w:rPr>
          <w:rFonts w:ascii="Calibri" w:eastAsia="Times New Roman" w:hAnsi="Calibri" w:cs="Calibri"/>
          <w:color w:val="000000"/>
          <w:bdr w:val="none" w:sz="0" w:space="0" w:color="auto" w:frame="1"/>
          <w:lang w:eastAsia="it-IT"/>
        </w:rPr>
        <w:t xml:space="preserve"> mediante PEC, trasmettendo il relativo contratto e la suddetta dichiarazione,</w:t>
      </w:r>
      <w:r w:rsidR="00E11AE8">
        <w:rPr>
          <w:rFonts w:ascii="Calibri" w:eastAsia="Times New Roman" w:hAnsi="Calibri" w:cs="Calibri"/>
          <w:color w:val="000000"/>
          <w:bdr w:val="none" w:sz="0" w:space="0" w:color="auto" w:frame="1"/>
          <w:lang w:eastAsia="it-IT"/>
        </w:rPr>
        <w:t xml:space="preserve"> </w:t>
      </w:r>
      <w:r w:rsidRPr="0067648A">
        <w:rPr>
          <w:rFonts w:ascii="Calibri" w:eastAsia="Times New Roman" w:hAnsi="Calibri" w:cs="Calibri"/>
          <w:color w:val="000000"/>
          <w:bdr w:val="none" w:sz="0" w:space="0" w:color="auto" w:frame="1"/>
          <w:lang w:eastAsia="it-IT"/>
        </w:rPr>
        <w:t>all’indirizzo </w:t>
      </w:r>
      <w:hyperlink r:id="rId7" w:tgtFrame="_blank" w:history="1">
        <w:r w:rsidRPr="00E11AE8">
          <w:rPr>
            <w:rStyle w:val="Collegamentoipertestuale"/>
            <w:rFonts w:ascii="Calibri" w:hAnsi="Calibri" w:cs="Calibri"/>
            <w:bdr w:val="none" w:sz="0" w:space="0" w:color="auto" w:frame="1"/>
            <w:lang w:eastAsia="it-IT"/>
          </w:rPr>
          <w:t>sviluppoeconomico@postacert.regione.emilia-romagna.it</w:t>
        </w:r>
      </w:hyperlink>
      <w:r w:rsidRPr="00E11AE8">
        <w:rPr>
          <w:rStyle w:val="Collegamentoipertestuale"/>
          <w:lang w:eastAsia="it-IT"/>
        </w:rPr>
        <w:t> </w:t>
      </w:r>
      <w:r w:rsidRPr="0067648A">
        <w:rPr>
          <w:rFonts w:ascii="Calibri" w:eastAsia="Times New Roman" w:hAnsi="Calibri" w:cs="Calibri"/>
          <w:color w:val="000000"/>
          <w:bdr w:val="none" w:sz="0" w:space="0" w:color="auto" w:frame="1"/>
          <w:lang w:eastAsia="it-IT"/>
        </w:rPr>
        <w:t xml:space="preserve">affinché l’Autorità di Gestione FESR possa  adottare una propria determina nella quale si prenda atto dell’accordo scritto fra beneficiario e partner privato, della presenza del conto bancario di garanzia dedicato all’interno dell’accordo PPP, </w:t>
      </w:r>
      <w:r w:rsidRPr="0067648A">
        <w:rPr>
          <w:rFonts w:ascii="Calibri" w:eastAsia="Times New Roman" w:hAnsi="Calibri" w:cs="Calibri"/>
          <w:color w:val="000000"/>
          <w:bdr w:val="none" w:sz="0" w:space="0" w:color="auto" w:frame="1"/>
          <w:lang w:eastAsia="it-IT"/>
        </w:rPr>
        <w:lastRenderedPageBreak/>
        <w:t>dell’apertura di detto conto da parte del beneficiario e del  soddisfacimento dei requisiti richiesti dal Regolamento Delegato (UE) 2015/1076 art. 4 in merito al medesimo conto di garanzia.</w:t>
      </w:r>
    </w:p>
    <w:p w14:paraId="5E34EC8D" w14:textId="77777777" w:rsidR="00647E01" w:rsidRPr="0067648A" w:rsidRDefault="00647E01" w:rsidP="00A81F3D">
      <w:pPr>
        <w:shd w:val="clear" w:color="auto" w:fill="FFFFFF"/>
        <w:spacing w:after="0" w:line="240" w:lineRule="auto"/>
        <w:jc w:val="both"/>
        <w:rPr>
          <w:rFonts w:ascii="Calibri" w:eastAsia="Times New Roman" w:hAnsi="Calibri" w:cs="Calibri"/>
          <w:color w:val="000000"/>
          <w:bdr w:val="none" w:sz="0" w:space="0" w:color="auto" w:frame="1"/>
          <w:lang w:eastAsia="it-IT"/>
        </w:rPr>
      </w:pPr>
    </w:p>
    <w:p w14:paraId="2F63CD04" w14:textId="77777777" w:rsidR="00774EBA" w:rsidRPr="0067648A" w:rsidRDefault="00647E01" w:rsidP="00774EBA">
      <w:pPr>
        <w:shd w:val="clear" w:color="auto" w:fill="FFFFFF"/>
        <w:spacing w:after="0" w:line="240" w:lineRule="auto"/>
        <w:jc w:val="both"/>
        <w:rPr>
          <w:rFonts w:ascii="Calibri" w:eastAsia="Times New Roman" w:hAnsi="Calibri" w:cs="Calibri"/>
          <w:color w:val="000000"/>
          <w:bdr w:val="none" w:sz="0" w:space="0" w:color="auto" w:frame="1"/>
          <w:lang w:eastAsia="it-IT"/>
        </w:rPr>
      </w:pPr>
      <w:r w:rsidRPr="0067648A">
        <w:rPr>
          <w:rFonts w:ascii="Calibri" w:eastAsia="Times New Roman" w:hAnsi="Calibri" w:cs="Calibri"/>
          <w:color w:val="000000"/>
          <w:bdr w:val="none" w:sz="0" w:space="0" w:color="auto" w:frame="1"/>
          <w:lang w:eastAsia="it-IT"/>
        </w:rPr>
        <w:t>R</w:t>
      </w:r>
      <w:r w:rsidR="00B20F67" w:rsidRPr="0067648A">
        <w:rPr>
          <w:rFonts w:ascii="Calibri" w:eastAsia="Times New Roman" w:hAnsi="Calibri" w:cs="Calibri"/>
          <w:color w:val="000000"/>
          <w:bdr w:val="none" w:sz="0" w:space="0" w:color="auto" w:frame="1"/>
          <w:lang w:eastAsia="it-IT"/>
        </w:rPr>
        <w:t xml:space="preserve">equisiti richiesti </w:t>
      </w:r>
      <w:r w:rsidR="00774EBA" w:rsidRPr="0067648A">
        <w:rPr>
          <w:rFonts w:ascii="Calibri" w:eastAsia="Times New Roman" w:hAnsi="Calibri" w:cs="Calibri"/>
          <w:color w:val="000000"/>
          <w:bdr w:val="none" w:sz="0" w:space="0" w:color="auto" w:frame="1"/>
          <w:lang w:eastAsia="it-IT"/>
        </w:rPr>
        <w:t>dall’ Art. 4 del REGOLAMENTO DELEGATO (UE) 2015/1076 in merito al Conto di Garanzia</w:t>
      </w:r>
      <w:r w:rsidR="00F5579C" w:rsidRPr="0067648A">
        <w:rPr>
          <w:rStyle w:val="Rimandonotaapidipagina"/>
          <w:rFonts w:ascii="Calibri" w:eastAsia="Times New Roman" w:hAnsi="Calibri" w:cs="Calibri"/>
          <w:color w:val="000000"/>
          <w:bdr w:val="none" w:sz="0" w:space="0" w:color="auto" w:frame="1"/>
          <w:lang w:eastAsia="it-IT"/>
        </w:rPr>
        <w:footnoteReference w:id="2"/>
      </w:r>
      <w:r w:rsidR="00774EBA" w:rsidRPr="0067648A">
        <w:rPr>
          <w:rFonts w:ascii="Calibri" w:eastAsia="Times New Roman" w:hAnsi="Calibri" w:cs="Calibri"/>
          <w:color w:val="000000"/>
          <w:bdr w:val="none" w:sz="0" w:space="0" w:color="auto" w:frame="1"/>
          <w:lang w:eastAsia="it-IT"/>
        </w:rPr>
        <w:t>:</w:t>
      </w:r>
    </w:p>
    <w:p w14:paraId="22BCEC98" w14:textId="77777777" w:rsidR="00774EBA" w:rsidRPr="0067648A" w:rsidRDefault="00774EBA" w:rsidP="00774EBA">
      <w:pPr>
        <w:shd w:val="clear" w:color="auto" w:fill="FFFFFF"/>
        <w:spacing w:after="0" w:line="240" w:lineRule="auto"/>
        <w:jc w:val="both"/>
        <w:rPr>
          <w:rFonts w:ascii="Calibri" w:eastAsia="Times New Roman" w:hAnsi="Calibri" w:cs="Calibri"/>
          <w:color w:val="000000"/>
          <w:bdr w:val="none" w:sz="0" w:space="0" w:color="auto" w:frame="1"/>
          <w:lang w:eastAsia="it-IT"/>
        </w:rPr>
      </w:pPr>
      <w:r w:rsidRPr="0067648A">
        <w:rPr>
          <w:rFonts w:ascii="Calibri" w:eastAsia="Times New Roman" w:hAnsi="Calibri" w:cs="Calibri"/>
          <w:color w:val="000000"/>
          <w:bdr w:val="none" w:sz="0" w:space="0" w:color="auto" w:frame="1"/>
          <w:lang w:eastAsia="it-IT"/>
        </w:rPr>
        <w:t>“Per quanto riguarda il conto di garanzia di cui all'articolo 64, paragrafo 2, del regolamento (UE) n. 1303/2013, l'accordo di PPP contiene le seguenti disposizioni:</w:t>
      </w:r>
    </w:p>
    <w:p w14:paraId="44CD4A67" w14:textId="77777777" w:rsidR="00774EBA" w:rsidRPr="0067648A" w:rsidRDefault="00774EBA" w:rsidP="00774EBA">
      <w:pPr>
        <w:shd w:val="clear" w:color="auto" w:fill="FFFFFF"/>
        <w:spacing w:after="0" w:line="240" w:lineRule="auto"/>
        <w:jc w:val="both"/>
        <w:rPr>
          <w:rFonts w:ascii="Calibri" w:eastAsia="Times New Roman" w:hAnsi="Calibri" w:cs="Calibri"/>
          <w:color w:val="000000"/>
          <w:bdr w:val="none" w:sz="0" w:space="0" w:color="auto" w:frame="1"/>
          <w:lang w:eastAsia="it-IT"/>
        </w:rPr>
      </w:pPr>
      <w:r w:rsidRPr="0067648A">
        <w:rPr>
          <w:rFonts w:ascii="Calibri" w:eastAsia="Times New Roman" w:hAnsi="Calibri" w:cs="Calibri"/>
          <w:color w:val="000000"/>
          <w:bdr w:val="none" w:sz="0" w:space="0" w:color="auto" w:frame="1"/>
          <w:lang w:eastAsia="it-IT"/>
        </w:rPr>
        <w:t>a) se del caso, i criteri di selezione dell'istituto finanziario presso il quale sarà aperto il conto di garanzia, compresi i requisiti riguardanti la solvibilità;</w:t>
      </w:r>
    </w:p>
    <w:p w14:paraId="12AC1A54" w14:textId="77777777" w:rsidR="00774EBA" w:rsidRPr="0067648A" w:rsidRDefault="00774EBA" w:rsidP="00774EBA">
      <w:pPr>
        <w:shd w:val="clear" w:color="auto" w:fill="FFFFFF"/>
        <w:spacing w:after="0" w:line="240" w:lineRule="auto"/>
        <w:jc w:val="both"/>
        <w:rPr>
          <w:rFonts w:ascii="Calibri" w:eastAsia="Times New Roman" w:hAnsi="Calibri" w:cs="Calibri"/>
          <w:color w:val="000000"/>
          <w:bdr w:val="none" w:sz="0" w:space="0" w:color="auto" w:frame="1"/>
          <w:lang w:eastAsia="it-IT"/>
        </w:rPr>
      </w:pPr>
      <w:r w:rsidRPr="0067648A">
        <w:rPr>
          <w:rFonts w:ascii="Calibri" w:eastAsia="Times New Roman" w:hAnsi="Calibri" w:cs="Calibri"/>
          <w:color w:val="000000"/>
          <w:bdr w:val="none" w:sz="0" w:space="0" w:color="auto" w:frame="1"/>
          <w:lang w:eastAsia="it-IT"/>
        </w:rPr>
        <w:t>b) le condizioni alle quali possono essere effettuati pagamenti a valere sul conto di garanzia;</w:t>
      </w:r>
    </w:p>
    <w:p w14:paraId="6F7AB1E0" w14:textId="77777777" w:rsidR="00774EBA" w:rsidRPr="0067648A" w:rsidRDefault="00774EBA" w:rsidP="00774EBA">
      <w:pPr>
        <w:shd w:val="clear" w:color="auto" w:fill="FFFFFF"/>
        <w:spacing w:after="0" w:line="240" w:lineRule="auto"/>
        <w:jc w:val="both"/>
        <w:rPr>
          <w:rFonts w:ascii="Calibri" w:eastAsia="Times New Roman" w:hAnsi="Calibri" w:cs="Calibri"/>
          <w:color w:val="000000"/>
          <w:bdr w:val="none" w:sz="0" w:space="0" w:color="auto" w:frame="1"/>
          <w:lang w:eastAsia="it-IT"/>
        </w:rPr>
      </w:pPr>
      <w:r w:rsidRPr="0067648A">
        <w:rPr>
          <w:rFonts w:ascii="Calibri" w:eastAsia="Times New Roman" w:hAnsi="Calibri" w:cs="Calibri"/>
          <w:color w:val="000000"/>
          <w:bdr w:val="none" w:sz="0" w:space="0" w:color="auto" w:frame="1"/>
          <w:lang w:eastAsia="it-IT"/>
        </w:rPr>
        <w:t>c) la possibilità o meno per l'organismo di diritto pubblico di utilizzare, in quanto beneficiario, il conto di garanzia come garanzia dell'assolvimento dei propri obblighi, o di quelli del partner privato, previsti dall'accordo di PPP;</w:t>
      </w:r>
    </w:p>
    <w:p w14:paraId="5106C267" w14:textId="77777777" w:rsidR="00774EBA" w:rsidRPr="0067648A" w:rsidRDefault="00774EBA" w:rsidP="00774EBA">
      <w:pPr>
        <w:shd w:val="clear" w:color="auto" w:fill="FFFFFF"/>
        <w:spacing w:after="0" w:line="240" w:lineRule="auto"/>
        <w:jc w:val="both"/>
        <w:rPr>
          <w:rFonts w:ascii="Calibri" w:eastAsia="Times New Roman" w:hAnsi="Calibri" w:cs="Calibri"/>
          <w:color w:val="000000"/>
          <w:bdr w:val="none" w:sz="0" w:space="0" w:color="auto" w:frame="1"/>
          <w:lang w:eastAsia="it-IT"/>
        </w:rPr>
      </w:pPr>
      <w:r w:rsidRPr="0067648A">
        <w:rPr>
          <w:rFonts w:ascii="Calibri" w:eastAsia="Times New Roman" w:hAnsi="Calibri" w:cs="Calibri"/>
          <w:color w:val="000000"/>
          <w:bdr w:val="none" w:sz="0" w:space="0" w:color="auto" w:frame="1"/>
          <w:lang w:eastAsia="it-IT"/>
        </w:rPr>
        <w:t>d) l'obbligo per i titolari del conto di garanzia di informare l'autorità di gestione, che ne faccia richiesta scritta, circa l'ammontare dei fondi erogati e il saldo del conto di garanzia;</w:t>
      </w:r>
    </w:p>
    <w:p w14:paraId="0B5CD624" w14:textId="77777777" w:rsidR="00774EBA" w:rsidRPr="0067648A" w:rsidRDefault="00774EBA" w:rsidP="00774EBA">
      <w:pPr>
        <w:shd w:val="clear" w:color="auto" w:fill="FFFFFF"/>
        <w:spacing w:after="0" w:line="240" w:lineRule="auto"/>
        <w:jc w:val="both"/>
        <w:rPr>
          <w:rFonts w:ascii="Calibri" w:eastAsia="Times New Roman" w:hAnsi="Calibri" w:cs="Calibri"/>
          <w:color w:val="000000"/>
          <w:bdr w:val="none" w:sz="0" w:space="0" w:color="auto" w:frame="1"/>
          <w:lang w:eastAsia="it-IT"/>
        </w:rPr>
      </w:pPr>
      <w:r w:rsidRPr="0067648A">
        <w:rPr>
          <w:rFonts w:ascii="Calibri" w:eastAsia="Times New Roman" w:hAnsi="Calibri" w:cs="Calibri"/>
          <w:color w:val="000000"/>
          <w:bdr w:val="none" w:sz="0" w:space="0" w:color="auto" w:frame="1"/>
          <w:lang w:eastAsia="it-IT"/>
        </w:rPr>
        <w:t>e) le modalità di erogazione dei fondi restanti nel conto di garanzia nel caso di chiusura del conto a seguito della risoluzione dell'accordo di PPP.”</w:t>
      </w:r>
    </w:p>
    <w:p w14:paraId="038FEC10" w14:textId="77777777" w:rsidR="00647E01" w:rsidRPr="0067648A" w:rsidRDefault="00647E01" w:rsidP="00774EBA">
      <w:pPr>
        <w:shd w:val="clear" w:color="auto" w:fill="FFFFFF"/>
        <w:spacing w:after="0" w:line="240" w:lineRule="auto"/>
        <w:jc w:val="both"/>
        <w:rPr>
          <w:rFonts w:ascii="Calibri" w:eastAsia="Times New Roman" w:hAnsi="Calibri" w:cs="Calibri"/>
          <w:color w:val="000000"/>
          <w:bdr w:val="none" w:sz="0" w:space="0" w:color="auto" w:frame="1"/>
          <w:lang w:eastAsia="it-IT"/>
        </w:rPr>
      </w:pPr>
    </w:p>
    <w:p w14:paraId="435FD224" w14:textId="77777777" w:rsidR="00647E01" w:rsidRDefault="00647E01" w:rsidP="00647E01">
      <w:pPr>
        <w:shd w:val="clear" w:color="auto" w:fill="FFFFFF"/>
        <w:spacing w:after="0" w:line="240" w:lineRule="auto"/>
        <w:jc w:val="both"/>
        <w:rPr>
          <w:rFonts w:ascii="Calibri" w:eastAsia="Times New Roman" w:hAnsi="Calibri" w:cs="Calibri"/>
          <w:color w:val="000000"/>
          <w:bdr w:val="none" w:sz="0" w:space="0" w:color="auto" w:frame="1"/>
          <w:lang w:eastAsia="it-IT"/>
        </w:rPr>
      </w:pPr>
      <w:r w:rsidRPr="0067648A">
        <w:rPr>
          <w:rFonts w:ascii="Calibri" w:eastAsia="Times New Roman" w:hAnsi="Calibri" w:cs="Calibri"/>
          <w:color w:val="000000"/>
          <w:bdr w:val="none" w:sz="0" w:space="0" w:color="auto" w:frame="1"/>
          <w:lang w:eastAsia="it-IT"/>
        </w:rPr>
        <w:t xml:space="preserve">Per i progetti già in corso di rendicontazione al momento dell’adozione delle presenti linee guida il contratto di PPP è già stato acquisito dall’Autorità di Gestione FESR mediante il sistema Sfinge 2020 e si provvederà </w:t>
      </w:r>
      <w:proofErr w:type="gramStart"/>
      <w:r w:rsidRPr="0067648A">
        <w:rPr>
          <w:rFonts w:ascii="Calibri" w:eastAsia="Times New Roman" w:hAnsi="Calibri" w:cs="Calibri"/>
          <w:color w:val="000000"/>
          <w:bdr w:val="none" w:sz="0" w:space="0" w:color="auto" w:frame="1"/>
          <w:lang w:eastAsia="it-IT"/>
        </w:rPr>
        <w:t>ad</w:t>
      </w:r>
      <w:proofErr w:type="gramEnd"/>
      <w:r w:rsidRPr="0067648A">
        <w:rPr>
          <w:rFonts w:ascii="Calibri" w:eastAsia="Times New Roman" w:hAnsi="Calibri" w:cs="Calibri"/>
          <w:color w:val="000000"/>
          <w:bdr w:val="none" w:sz="0" w:space="0" w:color="auto" w:frame="1"/>
          <w:lang w:eastAsia="it-IT"/>
        </w:rPr>
        <w:t xml:space="preserve"> adottare il predetto atto amministrativo</w:t>
      </w:r>
      <w:r w:rsidR="00E11AE8">
        <w:rPr>
          <w:rFonts w:ascii="Calibri" w:eastAsia="Times New Roman" w:hAnsi="Calibri" w:cs="Calibri"/>
          <w:color w:val="000000"/>
          <w:bdr w:val="none" w:sz="0" w:space="0" w:color="auto" w:frame="1"/>
          <w:lang w:eastAsia="it-IT"/>
        </w:rPr>
        <w:t>, previa trasmissione della sopra citata dichiarazione di accompagnamento</w:t>
      </w:r>
      <w:r w:rsidRPr="0067648A">
        <w:rPr>
          <w:rFonts w:ascii="Calibri" w:eastAsia="Times New Roman" w:hAnsi="Calibri" w:cs="Calibri"/>
          <w:color w:val="000000"/>
          <w:bdr w:val="none" w:sz="0" w:space="0" w:color="auto" w:frame="1"/>
          <w:lang w:eastAsia="it-IT"/>
        </w:rPr>
        <w:t>.</w:t>
      </w:r>
    </w:p>
    <w:p w14:paraId="4E0D8EFC" w14:textId="77777777" w:rsidR="00E11AE8" w:rsidRPr="0067648A" w:rsidRDefault="00E11AE8" w:rsidP="00647E01">
      <w:pPr>
        <w:shd w:val="clear" w:color="auto" w:fill="FFFFFF"/>
        <w:spacing w:after="0" w:line="240" w:lineRule="auto"/>
        <w:jc w:val="both"/>
        <w:rPr>
          <w:rFonts w:ascii="Calibri" w:eastAsia="Times New Roman" w:hAnsi="Calibri" w:cs="Calibri"/>
          <w:color w:val="000000"/>
          <w:bdr w:val="none" w:sz="0" w:space="0" w:color="auto" w:frame="1"/>
          <w:lang w:eastAsia="it-IT"/>
        </w:rPr>
      </w:pPr>
    </w:p>
    <w:p w14:paraId="79334690" w14:textId="77777777" w:rsidR="007C6368" w:rsidRPr="0067648A" w:rsidRDefault="00774EBA" w:rsidP="00774EBA">
      <w:pPr>
        <w:shd w:val="clear" w:color="auto" w:fill="FFFFFF"/>
        <w:spacing w:after="0" w:line="240" w:lineRule="auto"/>
        <w:jc w:val="both"/>
        <w:rPr>
          <w:rFonts w:ascii="Calibri" w:eastAsia="Times New Roman" w:hAnsi="Calibri" w:cs="Calibri"/>
          <w:color w:val="000000"/>
          <w:bdr w:val="none" w:sz="0" w:space="0" w:color="auto" w:frame="1"/>
          <w:lang w:eastAsia="it-IT"/>
        </w:rPr>
      </w:pPr>
      <w:r w:rsidRPr="0067648A">
        <w:rPr>
          <w:rFonts w:ascii="Calibri" w:eastAsia="Times New Roman" w:hAnsi="Calibri" w:cs="Calibri"/>
          <w:color w:val="000000"/>
          <w:bdr w:val="none" w:sz="0" w:space="0" w:color="auto" w:frame="1"/>
          <w:lang w:eastAsia="it-IT"/>
        </w:rPr>
        <w:t>Qualora il contratto</w:t>
      </w:r>
      <w:r w:rsidR="00647E01" w:rsidRPr="0067648A">
        <w:rPr>
          <w:rFonts w:ascii="Calibri" w:eastAsia="Times New Roman" w:hAnsi="Calibri" w:cs="Calibri"/>
          <w:color w:val="000000"/>
          <w:bdr w:val="none" w:sz="0" w:space="0" w:color="auto" w:frame="1"/>
          <w:lang w:eastAsia="it-IT"/>
        </w:rPr>
        <w:t xml:space="preserve"> PPP</w:t>
      </w:r>
      <w:r w:rsidRPr="0067648A">
        <w:rPr>
          <w:rFonts w:ascii="Calibri" w:eastAsia="Times New Roman" w:hAnsi="Calibri" w:cs="Calibri"/>
          <w:color w:val="000000"/>
          <w:bdr w:val="none" w:sz="0" w:space="0" w:color="auto" w:frame="1"/>
          <w:lang w:eastAsia="it-IT"/>
        </w:rPr>
        <w:t xml:space="preserve"> fra pubblico e privato non disciplini già quanto</w:t>
      </w:r>
      <w:r w:rsidR="00647E01" w:rsidRPr="0067648A">
        <w:rPr>
          <w:rFonts w:ascii="Calibri" w:eastAsia="Times New Roman" w:hAnsi="Calibri" w:cs="Calibri"/>
          <w:color w:val="000000"/>
          <w:bdr w:val="none" w:sz="0" w:space="0" w:color="auto" w:frame="1"/>
          <w:lang w:eastAsia="it-IT"/>
        </w:rPr>
        <w:t xml:space="preserve"> sopra indicato</w:t>
      </w:r>
      <w:r w:rsidRPr="0067648A">
        <w:rPr>
          <w:rFonts w:ascii="Calibri" w:eastAsia="Times New Roman" w:hAnsi="Calibri" w:cs="Calibri"/>
          <w:color w:val="000000"/>
          <w:bdr w:val="none" w:sz="0" w:space="0" w:color="auto" w:frame="1"/>
          <w:lang w:eastAsia="it-IT"/>
        </w:rPr>
        <w:t xml:space="preserve"> </w:t>
      </w:r>
      <w:r w:rsidR="00647E01" w:rsidRPr="0067648A">
        <w:rPr>
          <w:rFonts w:ascii="Calibri" w:eastAsia="Times New Roman" w:hAnsi="Calibri" w:cs="Calibri"/>
          <w:color w:val="000000"/>
          <w:bdr w:val="none" w:sz="0" w:space="0" w:color="auto" w:frame="1"/>
          <w:lang w:eastAsia="it-IT"/>
        </w:rPr>
        <w:t>d</w:t>
      </w:r>
      <w:r w:rsidRPr="0067648A">
        <w:rPr>
          <w:rFonts w:ascii="Calibri" w:eastAsia="Times New Roman" w:hAnsi="Calibri" w:cs="Calibri"/>
          <w:color w:val="000000"/>
          <w:bdr w:val="none" w:sz="0" w:space="0" w:color="auto" w:frame="1"/>
          <w:lang w:eastAsia="it-IT"/>
        </w:rPr>
        <w:t xml:space="preserve">ai punti da b) ad e), si ritiene necessario un addendum a detto contratto ai fini del rispetto di detta disposizione. </w:t>
      </w:r>
    </w:p>
    <w:p w14:paraId="3F270D88" w14:textId="77777777" w:rsidR="007C6368" w:rsidRPr="0067648A" w:rsidRDefault="007C6368" w:rsidP="00774EBA">
      <w:pPr>
        <w:shd w:val="clear" w:color="auto" w:fill="FFFFFF"/>
        <w:spacing w:after="0" w:line="240" w:lineRule="auto"/>
        <w:jc w:val="both"/>
        <w:rPr>
          <w:rFonts w:ascii="Calibri" w:eastAsia="Times New Roman" w:hAnsi="Calibri" w:cs="Calibri"/>
          <w:color w:val="000000"/>
          <w:bdr w:val="none" w:sz="0" w:space="0" w:color="auto" w:frame="1"/>
          <w:lang w:eastAsia="it-IT"/>
        </w:rPr>
      </w:pPr>
    </w:p>
    <w:p w14:paraId="583EE0C3" w14:textId="77777777" w:rsidR="007C6368" w:rsidRPr="0067648A" w:rsidRDefault="007C6368" w:rsidP="00774EBA">
      <w:pPr>
        <w:shd w:val="clear" w:color="auto" w:fill="FFFFFF"/>
        <w:spacing w:after="0" w:line="240" w:lineRule="auto"/>
        <w:jc w:val="both"/>
        <w:rPr>
          <w:rFonts w:ascii="Calibri" w:eastAsia="Times New Roman" w:hAnsi="Calibri" w:cs="Calibri"/>
          <w:color w:val="000000"/>
          <w:bdr w:val="none" w:sz="0" w:space="0" w:color="auto" w:frame="1"/>
          <w:lang w:eastAsia="it-IT"/>
        </w:rPr>
      </w:pPr>
      <w:r w:rsidRPr="0067648A">
        <w:rPr>
          <w:rFonts w:ascii="Calibri" w:eastAsia="Times New Roman" w:hAnsi="Calibri" w:cs="Calibri"/>
          <w:color w:val="000000"/>
          <w:bdr w:val="none" w:sz="0" w:space="0" w:color="auto" w:frame="1"/>
          <w:lang w:eastAsia="it-IT"/>
        </w:rPr>
        <w:t>In sede di rendicontazione il beneficiario presenterà</w:t>
      </w:r>
      <w:r w:rsidR="00E11AE8">
        <w:rPr>
          <w:rFonts w:ascii="Calibri" w:eastAsia="Times New Roman" w:hAnsi="Calibri" w:cs="Calibri"/>
          <w:color w:val="000000"/>
          <w:bdr w:val="none" w:sz="0" w:space="0" w:color="auto" w:frame="1"/>
          <w:lang w:eastAsia="it-IT"/>
        </w:rPr>
        <w:t>, se soggetto ad applicazione dell’art. 64 del Reg. UE n. 1303/2013</w:t>
      </w:r>
      <w:r w:rsidRPr="0067648A">
        <w:rPr>
          <w:rFonts w:ascii="Calibri" w:eastAsia="Times New Roman" w:hAnsi="Calibri" w:cs="Calibri"/>
          <w:color w:val="000000"/>
          <w:bdr w:val="none" w:sz="0" w:space="0" w:color="auto" w:frame="1"/>
          <w:lang w:eastAsia="it-IT"/>
        </w:rPr>
        <w:t xml:space="preserve">: </w:t>
      </w:r>
    </w:p>
    <w:p w14:paraId="7F41882E" w14:textId="77777777" w:rsidR="007C6368" w:rsidRDefault="007C6368" w:rsidP="007C6368">
      <w:pPr>
        <w:pStyle w:val="Paragrafoelenco"/>
        <w:numPr>
          <w:ilvl w:val="0"/>
          <w:numId w:val="3"/>
        </w:numPr>
        <w:shd w:val="clear" w:color="auto" w:fill="FFFFFF"/>
        <w:spacing w:after="0" w:line="240" w:lineRule="auto"/>
        <w:jc w:val="both"/>
        <w:rPr>
          <w:rFonts w:ascii="Calibri" w:eastAsia="Times New Roman" w:hAnsi="Calibri" w:cs="Calibri"/>
          <w:color w:val="000000"/>
          <w:bdr w:val="none" w:sz="0" w:space="0" w:color="auto" w:frame="1"/>
          <w:lang w:eastAsia="it-IT"/>
        </w:rPr>
      </w:pPr>
      <w:r w:rsidRPr="0067648A">
        <w:rPr>
          <w:rFonts w:ascii="Calibri" w:eastAsia="Times New Roman" w:hAnsi="Calibri" w:cs="Calibri"/>
          <w:color w:val="000000"/>
          <w:bdr w:val="none" w:sz="0" w:space="0" w:color="auto" w:frame="1"/>
          <w:lang w:eastAsia="it-IT"/>
        </w:rPr>
        <w:t xml:space="preserve">La check list di autovalutazione della procedura secondo il modello PPP disponibile al link: </w:t>
      </w:r>
      <w:hyperlink r:id="rId8" w:history="1">
        <w:r w:rsidRPr="0067648A">
          <w:rPr>
            <w:rStyle w:val="Collegamentoipertestuale"/>
            <w:rFonts w:ascii="Calibri" w:eastAsia="Times New Roman" w:hAnsi="Calibri" w:cs="Calibri"/>
            <w:bdr w:val="none" w:sz="0" w:space="0" w:color="auto" w:frame="1"/>
            <w:lang w:eastAsia="it-IT"/>
          </w:rPr>
          <w:t>https://fesr.regione.emilia-romagna.it/opportunita/2017/check-list-di-autovalutazione-delle-procedure-per-l2019affidamento-dei-contratti-pubblici-ai-sensi-del-codice-dei-contratti-vigente/check-list</w:t>
        </w:r>
      </w:hyperlink>
      <w:r>
        <w:rPr>
          <w:rFonts w:ascii="Calibri" w:eastAsia="Times New Roman" w:hAnsi="Calibri" w:cs="Calibri"/>
          <w:color w:val="000000"/>
          <w:bdr w:val="none" w:sz="0" w:space="0" w:color="auto" w:frame="1"/>
          <w:lang w:eastAsia="it-IT"/>
        </w:rPr>
        <w:t xml:space="preserve"> (check list n. 5)</w:t>
      </w:r>
    </w:p>
    <w:p w14:paraId="101249C5" w14:textId="77777777" w:rsidR="00774EBA" w:rsidRPr="007C6368" w:rsidRDefault="007C6368" w:rsidP="007C6368">
      <w:pPr>
        <w:pStyle w:val="Paragrafoelenco"/>
        <w:numPr>
          <w:ilvl w:val="0"/>
          <w:numId w:val="3"/>
        </w:numPr>
        <w:shd w:val="clear" w:color="auto" w:fill="FFFFFF"/>
        <w:spacing w:after="0" w:line="240" w:lineRule="auto"/>
        <w:jc w:val="both"/>
        <w:rPr>
          <w:rFonts w:ascii="Calibri" w:eastAsia="Times New Roman" w:hAnsi="Calibri" w:cs="Calibri"/>
          <w:color w:val="000000"/>
          <w:bdr w:val="none" w:sz="0" w:space="0" w:color="auto" w:frame="1"/>
          <w:lang w:eastAsia="it-IT"/>
        </w:rPr>
      </w:pPr>
      <w:r>
        <w:rPr>
          <w:rFonts w:ascii="Calibri" w:eastAsia="Times New Roman" w:hAnsi="Calibri" w:cs="Calibri"/>
          <w:color w:val="000000"/>
          <w:bdr w:val="none" w:sz="0" w:space="0" w:color="auto" w:frame="1"/>
          <w:lang w:eastAsia="it-IT"/>
        </w:rPr>
        <w:t>Le spese sostenute dal partner privato (fatture, pagamenti e quietanze)</w:t>
      </w:r>
      <w:r w:rsidR="00774EBA" w:rsidRPr="007C6368">
        <w:rPr>
          <w:rFonts w:ascii="Calibri" w:eastAsia="Times New Roman" w:hAnsi="Calibri" w:cs="Calibri"/>
          <w:color w:val="000000"/>
          <w:bdr w:val="none" w:sz="0" w:space="0" w:color="auto" w:frame="1"/>
          <w:lang w:eastAsia="it-IT"/>
        </w:rPr>
        <w:t xml:space="preserve"> </w:t>
      </w:r>
    </w:p>
    <w:p w14:paraId="28A4C430" w14:textId="77777777" w:rsidR="00774EBA" w:rsidRDefault="00774EBA" w:rsidP="00B20F67">
      <w:pPr>
        <w:shd w:val="clear" w:color="auto" w:fill="FFFFFF"/>
        <w:spacing w:after="0" w:line="240" w:lineRule="auto"/>
        <w:jc w:val="both"/>
        <w:rPr>
          <w:rFonts w:ascii="Calibri" w:eastAsia="Times New Roman" w:hAnsi="Calibri" w:cs="Calibri"/>
          <w:color w:val="000000"/>
          <w:bdr w:val="none" w:sz="0" w:space="0" w:color="auto" w:frame="1"/>
          <w:lang w:eastAsia="it-IT"/>
        </w:rPr>
      </w:pPr>
    </w:p>
    <w:p w14:paraId="54073310" w14:textId="77777777" w:rsidR="00647E01" w:rsidRDefault="00647E01" w:rsidP="00647E01">
      <w:pPr>
        <w:shd w:val="clear" w:color="auto" w:fill="FFFFFF"/>
        <w:spacing w:after="0" w:line="240" w:lineRule="auto"/>
        <w:jc w:val="both"/>
        <w:rPr>
          <w:rFonts w:ascii="Calibri" w:eastAsia="Times New Roman" w:hAnsi="Calibri" w:cs="Calibri"/>
          <w:color w:val="000000"/>
          <w:bdr w:val="none" w:sz="0" w:space="0" w:color="auto" w:frame="1"/>
          <w:lang w:eastAsia="it-IT"/>
        </w:rPr>
      </w:pPr>
      <w:r>
        <w:rPr>
          <w:rFonts w:ascii="Calibri" w:eastAsia="Times New Roman" w:hAnsi="Calibri" w:cs="Calibri"/>
          <w:color w:val="000000"/>
          <w:bdr w:val="none" w:sz="0" w:space="0" w:color="auto" w:frame="1"/>
          <w:lang w:eastAsia="it-IT"/>
        </w:rPr>
        <w:t xml:space="preserve">A seguito dell’adozione della </w:t>
      </w:r>
      <w:r w:rsidR="007C6368">
        <w:rPr>
          <w:rFonts w:ascii="Calibri" w:eastAsia="Times New Roman" w:hAnsi="Calibri" w:cs="Calibri"/>
          <w:color w:val="000000"/>
          <w:bdr w:val="none" w:sz="0" w:space="0" w:color="auto" w:frame="1"/>
          <w:lang w:eastAsia="it-IT"/>
        </w:rPr>
        <w:t>determina da parte dell’</w:t>
      </w:r>
      <w:proofErr w:type="spellStart"/>
      <w:r w:rsidR="007C6368">
        <w:rPr>
          <w:rFonts w:ascii="Calibri" w:eastAsia="Times New Roman" w:hAnsi="Calibri" w:cs="Calibri"/>
          <w:color w:val="000000"/>
          <w:bdr w:val="none" w:sz="0" w:space="0" w:color="auto" w:frame="1"/>
          <w:lang w:eastAsia="it-IT"/>
        </w:rPr>
        <w:t>AdG</w:t>
      </w:r>
      <w:proofErr w:type="spellEnd"/>
      <w:r w:rsidR="007C6368">
        <w:rPr>
          <w:rFonts w:ascii="Calibri" w:eastAsia="Times New Roman" w:hAnsi="Calibri" w:cs="Calibri"/>
          <w:color w:val="000000"/>
          <w:bdr w:val="none" w:sz="0" w:space="0" w:color="auto" w:frame="1"/>
          <w:lang w:eastAsia="it-IT"/>
        </w:rPr>
        <w:t xml:space="preserve"> FESR, in sede di rendicontazione verrà verificato</w:t>
      </w:r>
      <w:r>
        <w:rPr>
          <w:rFonts w:ascii="Calibri" w:eastAsia="Times New Roman" w:hAnsi="Calibri" w:cs="Calibri"/>
          <w:color w:val="000000"/>
          <w:bdr w:val="none" w:sz="0" w:space="0" w:color="auto" w:frame="1"/>
          <w:lang w:eastAsia="it-IT"/>
        </w:rPr>
        <w:t xml:space="preserve"> che i pagamenti relativi al progetto co-finanziato </w:t>
      </w:r>
      <w:r w:rsidR="007C6368">
        <w:rPr>
          <w:rFonts w:ascii="Calibri" w:eastAsia="Times New Roman" w:hAnsi="Calibri" w:cs="Calibri"/>
          <w:color w:val="000000"/>
          <w:bdr w:val="none" w:sz="0" w:space="0" w:color="auto" w:frame="1"/>
          <w:lang w:eastAsia="it-IT"/>
        </w:rPr>
        <w:t xml:space="preserve">da parte del beneficiario </w:t>
      </w:r>
      <w:r>
        <w:rPr>
          <w:rFonts w:ascii="Calibri" w:eastAsia="Times New Roman" w:hAnsi="Calibri" w:cs="Calibri"/>
          <w:color w:val="000000"/>
          <w:bdr w:val="none" w:sz="0" w:space="0" w:color="auto" w:frame="1"/>
          <w:lang w:eastAsia="it-IT"/>
        </w:rPr>
        <w:t>siano avvenuti su</w:t>
      </w:r>
      <w:r w:rsidR="007C6368">
        <w:rPr>
          <w:rFonts w:ascii="Calibri" w:eastAsia="Times New Roman" w:hAnsi="Calibri" w:cs="Calibri"/>
          <w:color w:val="000000"/>
          <w:bdr w:val="none" w:sz="0" w:space="0" w:color="auto" w:frame="1"/>
          <w:lang w:eastAsia="it-IT"/>
        </w:rPr>
        <w:t>l conto di garanzia</w:t>
      </w:r>
      <w:r>
        <w:rPr>
          <w:rStyle w:val="Rimandonotaapidipagina"/>
          <w:rFonts w:ascii="Calibri" w:eastAsia="Times New Roman" w:hAnsi="Calibri" w:cs="Calibri"/>
          <w:color w:val="000000"/>
          <w:bdr w:val="none" w:sz="0" w:space="0" w:color="auto" w:frame="1"/>
          <w:lang w:eastAsia="it-IT"/>
        </w:rPr>
        <w:footnoteReference w:id="3"/>
      </w:r>
      <w:r>
        <w:rPr>
          <w:rFonts w:ascii="Calibri" w:eastAsia="Times New Roman" w:hAnsi="Calibri" w:cs="Calibri"/>
          <w:color w:val="000000"/>
          <w:bdr w:val="none" w:sz="0" w:space="0" w:color="auto" w:frame="1"/>
          <w:lang w:eastAsia="it-IT"/>
        </w:rPr>
        <w:t xml:space="preserve"> e a </w:t>
      </w:r>
      <w:r w:rsidR="007C6368">
        <w:rPr>
          <w:rFonts w:ascii="Calibri" w:eastAsia="Times New Roman" w:hAnsi="Calibri" w:cs="Calibri"/>
          <w:color w:val="000000"/>
          <w:bdr w:val="none" w:sz="0" w:space="0" w:color="auto" w:frame="1"/>
          <w:lang w:eastAsia="it-IT"/>
        </w:rPr>
        <w:t>liquidare</w:t>
      </w:r>
      <w:r>
        <w:rPr>
          <w:rFonts w:ascii="Calibri" w:eastAsia="Times New Roman" w:hAnsi="Calibri" w:cs="Calibri"/>
          <w:color w:val="000000"/>
          <w:bdr w:val="none" w:sz="0" w:space="0" w:color="auto" w:frame="1"/>
          <w:lang w:eastAsia="it-IT"/>
        </w:rPr>
        <w:t xml:space="preserve"> il contributo POR FESR spettante su detto conto di garanzia.</w:t>
      </w:r>
    </w:p>
    <w:p w14:paraId="333ECD8C" w14:textId="77777777" w:rsidR="00647E01" w:rsidRDefault="00647E01" w:rsidP="00B20F67">
      <w:pPr>
        <w:shd w:val="clear" w:color="auto" w:fill="FFFFFF"/>
        <w:spacing w:after="0" w:line="240" w:lineRule="auto"/>
        <w:jc w:val="both"/>
        <w:rPr>
          <w:rFonts w:ascii="Calibri" w:eastAsia="Times New Roman" w:hAnsi="Calibri" w:cs="Calibri"/>
          <w:color w:val="000000"/>
          <w:bdr w:val="none" w:sz="0" w:space="0" w:color="auto" w:frame="1"/>
          <w:lang w:eastAsia="it-IT"/>
        </w:rPr>
      </w:pPr>
    </w:p>
    <w:p w14:paraId="0B603A72" w14:textId="77777777" w:rsidR="00842E84" w:rsidRDefault="00842E84" w:rsidP="00B20F67">
      <w:pPr>
        <w:shd w:val="clear" w:color="auto" w:fill="FFFFFF"/>
        <w:spacing w:after="0" w:line="240" w:lineRule="auto"/>
        <w:jc w:val="both"/>
        <w:rPr>
          <w:rFonts w:ascii="Calibri" w:eastAsia="Times New Roman" w:hAnsi="Calibri" w:cs="Calibri"/>
          <w:color w:val="000000"/>
          <w:bdr w:val="none" w:sz="0" w:space="0" w:color="auto" w:frame="1"/>
          <w:lang w:eastAsia="it-IT"/>
        </w:rPr>
      </w:pPr>
    </w:p>
    <w:p w14:paraId="05AEDEF1" w14:textId="77777777" w:rsidR="00E11AE8" w:rsidRDefault="00E11AE8" w:rsidP="00B20F67">
      <w:pPr>
        <w:shd w:val="clear" w:color="auto" w:fill="FFFFFF"/>
        <w:spacing w:after="0" w:line="240" w:lineRule="auto"/>
        <w:jc w:val="both"/>
        <w:rPr>
          <w:rFonts w:ascii="Calibri" w:eastAsia="Times New Roman" w:hAnsi="Calibri" w:cs="Calibri"/>
          <w:color w:val="000000"/>
          <w:bdr w:val="none" w:sz="0" w:space="0" w:color="auto" w:frame="1"/>
          <w:lang w:eastAsia="it-IT"/>
        </w:rPr>
      </w:pPr>
    </w:p>
    <w:p w14:paraId="20AB6785" w14:textId="77777777" w:rsidR="00E11AE8" w:rsidRDefault="00E11AE8" w:rsidP="00B20F67">
      <w:pPr>
        <w:shd w:val="clear" w:color="auto" w:fill="FFFFFF"/>
        <w:spacing w:after="0" w:line="240" w:lineRule="auto"/>
        <w:jc w:val="both"/>
        <w:rPr>
          <w:rFonts w:ascii="Calibri" w:eastAsia="Times New Roman" w:hAnsi="Calibri" w:cs="Calibri"/>
          <w:color w:val="000000"/>
          <w:bdr w:val="none" w:sz="0" w:space="0" w:color="auto" w:frame="1"/>
          <w:lang w:eastAsia="it-IT"/>
        </w:rPr>
      </w:pPr>
    </w:p>
    <w:p w14:paraId="6AAF13FC" w14:textId="77777777" w:rsidR="00774EBA" w:rsidRDefault="00774EBA" w:rsidP="00B20F67">
      <w:pPr>
        <w:shd w:val="clear" w:color="auto" w:fill="FFFFFF"/>
        <w:spacing w:after="0" w:line="240" w:lineRule="auto"/>
        <w:jc w:val="both"/>
        <w:rPr>
          <w:rFonts w:ascii="Calibri" w:eastAsia="Times New Roman" w:hAnsi="Calibri" w:cs="Calibri"/>
          <w:color w:val="000000"/>
          <w:bdr w:val="none" w:sz="0" w:space="0" w:color="auto" w:frame="1"/>
          <w:lang w:eastAsia="it-IT"/>
        </w:rPr>
      </w:pPr>
    </w:p>
    <w:p w14:paraId="599E8D00" w14:textId="77777777" w:rsidR="004E27A3" w:rsidRDefault="004E27A3" w:rsidP="004E27A3">
      <w:pPr>
        <w:shd w:val="clear" w:color="auto" w:fill="FFFFFF"/>
        <w:spacing w:after="0" w:line="240" w:lineRule="auto"/>
        <w:rPr>
          <w:rFonts w:ascii="Calibri" w:eastAsia="Times New Roman" w:hAnsi="Calibri" w:cs="Calibri"/>
          <w:b/>
          <w:color w:val="212121"/>
          <w:u w:val="single"/>
          <w:lang w:eastAsia="it-IT"/>
        </w:rPr>
      </w:pPr>
      <w:r w:rsidRPr="004874E8">
        <w:rPr>
          <w:rFonts w:ascii="Calibri" w:eastAsia="Times New Roman" w:hAnsi="Calibri" w:cs="Calibri"/>
          <w:b/>
          <w:color w:val="212121"/>
          <w:u w:val="single"/>
          <w:lang w:eastAsia="it-IT"/>
        </w:rPr>
        <w:lastRenderedPageBreak/>
        <w:t xml:space="preserve">CASO 2) </w:t>
      </w:r>
      <w:r w:rsidR="003F1193" w:rsidRPr="004874E8">
        <w:rPr>
          <w:rFonts w:ascii="Calibri" w:eastAsia="Times New Roman" w:hAnsi="Calibri" w:cs="Calibri"/>
          <w:b/>
          <w:color w:val="212121"/>
          <w:u w:val="single"/>
          <w:lang w:eastAsia="it-IT"/>
        </w:rPr>
        <w:t>APPALTO</w:t>
      </w:r>
    </w:p>
    <w:p w14:paraId="32942CC4" w14:textId="77777777" w:rsidR="00E11AE8" w:rsidRPr="004874E8" w:rsidRDefault="00E11AE8" w:rsidP="004E27A3">
      <w:pPr>
        <w:shd w:val="clear" w:color="auto" w:fill="FFFFFF"/>
        <w:spacing w:after="0" w:line="240" w:lineRule="auto"/>
        <w:rPr>
          <w:rFonts w:ascii="Calibri" w:eastAsia="Times New Roman" w:hAnsi="Calibri" w:cs="Calibri"/>
          <w:b/>
          <w:color w:val="212121"/>
          <w:u w:val="single"/>
          <w:lang w:eastAsia="it-IT"/>
        </w:rPr>
      </w:pPr>
    </w:p>
    <w:p w14:paraId="79862707" w14:textId="77777777" w:rsidR="004874E8" w:rsidRDefault="004E27A3" w:rsidP="004E27A3">
      <w:pPr>
        <w:pStyle w:val="xstandard"/>
        <w:shd w:val="clear" w:color="auto" w:fill="FFFFFF"/>
        <w:spacing w:before="0" w:beforeAutospacing="0" w:after="0" w:afterAutospacing="0"/>
        <w:jc w:val="both"/>
        <w:rPr>
          <w:rFonts w:ascii="Calibri" w:hAnsi="Calibri" w:cs="Calibri"/>
          <w:color w:val="000000"/>
          <w:sz w:val="22"/>
          <w:szCs w:val="22"/>
          <w:bdr w:val="none" w:sz="0" w:space="0" w:color="auto" w:frame="1"/>
        </w:rPr>
      </w:pPr>
      <w:r w:rsidRPr="004874E8">
        <w:rPr>
          <w:rFonts w:ascii="Calibri" w:hAnsi="Calibri" w:cs="Calibri"/>
          <w:color w:val="000000"/>
          <w:sz w:val="22"/>
          <w:szCs w:val="22"/>
          <w:bdr w:val="none" w:sz="0" w:space="0" w:color="auto" w:frame="1"/>
        </w:rPr>
        <w:t xml:space="preserve">Nel caso di contratti </w:t>
      </w:r>
      <w:r w:rsidR="007C6368">
        <w:rPr>
          <w:rFonts w:ascii="Calibri" w:hAnsi="Calibri" w:cs="Calibri"/>
          <w:color w:val="000000"/>
          <w:sz w:val="22"/>
          <w:szCs w:val="22"/>
          <w:bdr w:val="none" w:sz="0" w:space="0" w:color="auto" w:frame="1"/>
        </w:rPr>
        <w:t xml:space="preserve">EPC </w:t>
      </w:r>
      <w:r w:rsidRPr="004874E8">
        <w:rPr>
          <w:rFonts w:ascii="Calibri" w:hAnsi="Calibri" w:cs="Calibri"/>
          <w:color w:val="000000"/>
          <w:sz w:val="22"/>
          <w:szCs w:val="22"/>
          <w:bdr w:val="none" w:sz="0" w:space="0" w:color="auto" w:frame="1"/>
        </w:rPr>
        <w:t xml:space="preserve">aggiudicati mediante appalti di servizi o misti, le spese ammissibili corrispondono ai canoni dovuti come corrispettivo per la realizzazione dei lavori di riqualificazione energetica ammessi a contributo. </w:t>
      </w:r>
    </w:p>
    <w:p w14:paraId="2A9430DA" w14:textId="77777777" w:rsidR="004E27A3" w:rsidRPr="004874E8" w:rsidRDefault="004E27A3" w:rsidP="004E27A3">
      <w:pPr>
        <w:pStyle w:val="xstandard"/>
        <w:shd w:val="clear" w:color="auto" w:fill="FFFFFF"/>
        <w:spacing w:before="0" w:beforeAutospacing="0" w:after="0" w:afterAutospacing="0"/>
        <w:jc w:val="both"/>
        <w:rPr>
          <w:rFonts w:ascii="Calibri" w:hAnsi="Calibri" w:cs="Calibri"/>
          <w:color w:val="000000"/>
          <w:sz w:val="22"/>
          <w:szCs w:val="22"/>
          <w:bdr w:val="none" w:sz="0" w:space="0" w:color="auto" w:frame="1"/>
        </w:rPr>
      </w:pPr>
      <w:r w:rsidRPr="004874E8">
        <w:rPr>
          <w:rFonts w:ascii="Calibri" w:hAnsi="Calibri" w:cs="Calibri"/>
          <w:color w:val="000000"/>
          <w:sz w:val="22"/>
          <w:szCs w:val="22"/>
          <w:bdr w:val="none" w:sz="0" w:space="0" w:color="auto" w:frame="1"/>
        </w:rPr>
        <w:t>In tal caso l’investimento si intende completamente sostenuto dal beneficiario alle seguenti condizioni:</w:t>
      </w:r>
    </w:p>
    <w:p w14:paraId="1222F809" w14:textId="77777777" w:rsidR="004E27A3" w:rsidRPr="004874E8" w:rsidRDefault="004E27A3" w:rsidP="004E27A3">
      <w:pPr>
        <w:pStyle w:val="xstandard"/>
        <w:shd w:val="clear" w:color="auto" w:fill="FFFFFF"/>
        <w:spacing w:before="0" w:beforeAutospacing="0" w:after="0" w:afterAutospacing="0"/>
        <w:ind w:left="1080" w:hanging="360"/>
        <w:jc w:val="both"/>
        <w:rPr>
          <w:rFonts w:ascii="Calibri" w:hAnsi="Calibri" w:cs="Calibri"/>
          <w:color w:val="000000"/>
          <w:sz w:val="22"/>
          <w:szCs w:val="22"/>
          <w:bdr w:val="none" w:sz="0" w:space="0" w:color="auto" w:frame="1"/>
        </w:rPr>
      </w:pPr>
      <w:r w:rsidRPr="004874E8">
        <w:rPr>
          <w:rFonts w:ascii="Calibri" w:hAnsi="Calibri" w:cs="Calibri"/>
          <w:color w:val="000000"/>
          <w:sz w:val="22"/>
          <w:szCs w:val="22"/>
          <w:bdr w:val="none" w:sz="0" w:space="0" w:color="auto" w:frame="1"/>
        </w:rPr>
        <w:t>-   sia stato emesso il certificato di regolare esecuzione, di cui all’art. 12.2 del bando;</w:t>
      </w:r>
    </w:p>
    <w:p w14:paraId="629226C4" w14:textId="77777777" w:rsidR="004E27A3" w:rsidRPr="004874E8" w:rsidRDefault="004E27A3" w:rsidP="004E27A3">
      <w:pPr>
        <w:pStyle w:val="xstandard"/>
        <w:shd w:val="clear" w:color="auto" w:fill="FFFFFF"/>
        <w:spacing w:before="0" w:beforeAutospacing="0" w:after="0" w:afterAutospacing="0"/>
        <w:ind w:left="1080" w:hanging="360"/>
        <w:jc w:val="both"/>
        <w:rPr>
          <w:rFonts w:ascii="Calibri" w:hAnsi="Calibri" w:cs="Calibri"/>
          <w:color w:val="000000"/>
          <w:sz w:val="22"/>
          <w:szCs w:val="22"/>
          <w:bdr w:val="none" w:sz="0" w:space="0" w:color="auto" w:frame="1"/>
        </w:rPr>
      </w:pPr>
      <w:r w:rsidRPr="004874E8">
        <w:rPr>
          <w:rFonts w:ascii="Calibri" w:hAnsi="Calibri" w:cs="Calibri"/>
          <w:color w:val="000000"/>
          <w:sz w:val="22"/>
          <w:szCs w:val="22"/>
          <w:bdr w:val="none" w:sz="0" w:space="0" w:color="auto" w:frame="1"/>
        </w:rPr>
        <w:t>-   dalla rendicontazione delle spese sostenute dall’aggiudicatario si evinca l’esatto importo dei lavori di riqualificazione sostenuti da quest’ultimo;</w:t>
      </w:r>
    </w:p>
    <w:p w14:paraId="1BE62192" w14:textId="77777777" w:rsidR="004E27A3" w:rsidRPr="004874E8" w:rsidRDefault="004E27A3" w:rsidP="004E27A3">
      <w:pPr>
        <w:pStyle w:val="xstandard"/>
        <w:shd w:val="clear" w:color="auto" w:fill="FFFFFF"/>
        <w:spacing w:before="0" w:beforeAutospacing="0" w:after="0" w:afterAutospacing="0"/>
        <w:ind w:left="1080" w:hanging="360"/>
        <w:jc w:val="both"/>
        <w:rPr>
          <w:rFonts w:ascii="Calibri" w:hAnsi="Calibri" w:cs="Calibri"/>
          <w:color w:val="000000"/>
          <w:sz w:val="22"/>
          <w:szCs w:val="22"/>
          <w:bdr w:val="none" w:sz="0" w:space="0" w:color="auto" w:frame="1"/>
        </w:rPr>
      </w:pPr>
      <w:r w:rsidRPr="004874E8">
        <w:rPr>
          <w:rFonts w:ascii="Calibri" w:hAnsi="Calibri" w:cs="Calibri"/>
          <w:color w:val="000000"/>
          <w:sz w:val="22"/>
          <w:szCs w:val="22"/>
          <w:bdr w:val="none" w:sz="0" w:space="0" w:color="auto" w:frame="1"/>
        </w:rPr>
        <w:t>-   l’importo dei canoni pagati dal beneficiario, relativi ai soli costi per gli interventi di riqualificazione energetica, alla data di presentazione della rendicontazione del saldo sia almeno pari all’importo dato dal prodotto delle spese sostenute dall’aggiudicatario ritenute ammissibili per la % di contributo richiesta in sede di domanda.</w:t>
      </w:r>
    </w:p>
    <w:p w14:paraId="66A294E2" w14:textId="77777777" w:rsidR="004E27A3" w:rsidRDefault="004E27A3" w:rsidP="004E27A3">
      <w:pPr>
        <w:shd w:val="clear" w:color="auto" w:fill="FFFFFF"/>
        <w:spacing w:after="0" w:line="240" w:lineRule="auto"/>
        <w:rPr>
          <w:rFonts w:ascii="Calibri" w:eastAsia="Times New Roman" w:hAnsi="Calibri" w:cs="Calibri"/>
          <w:color w:val="212121"/>
          <w:lang w:eastAsia="it-IT"/>
        </w:rPr>
      </w:pPr>
    </w:p>
    <w:p w14:paraId="0636A0CF" w14:textId="77777777" w:rsidR="00842E84" w:rsidRDefault="007C6368" w:rsidP="00621D7C">
      <w:pPr>
        <w:shd w:val="clear" w:color="auto" w:fill="FFFFFF"/>
        <w:spacing w:after="0" w:line="240" w:lineRule="auto"/>
        <w:jc w:val="both"/>
        <w:rPr>
          <w:rFonts w:ascii="Calibri" w:eastAsia="Times New Roman" w:hAnsi="Calibri" w:cs="Calibri"/>
          <w:color w:val="000000"/>
          <w:bdr w:val="none" w:sz="0" w:space="0" w:color="auto" w:frame="1"/>
          <w:lang w:eastAsia="it-IT"/>
        </w:rPr>
      </w:pPr>
      <w:r>
        <w:rPr>
          <w:rFonts w:ascii="Calibri" w:eastAsia="Times New Roman" w:hAnsi="Calibri" w:cs="Calibri"/>
          <w:color w:val="000000"/>
          <w:bdr w:val="none" w:sz="0" w:space="0" w:color="auto" w:frame="1"/>
          <w:lang w:eastAsia="it-IT"/>
        </w:rPr>
        <w:t>L</w:t>
      </w:r>
      <w:r w:rsidR="00621D7C" w:rsidRPr="00621D7C">
        <w:rPr>
          <w:rFonts w:ascii="Calibri" w:eastAsia="Times New Roman" w:hAnsi="Calibri" w:cs="Calibri"/>
          <w:color w:val="000000"/>
          <w:bdr w:val="none" w:sz="0" w:space="0" w:color="auto" w:frame="1"/>
          <w:lang w:eastAsia="it-IT"/>
        </w:rPr>
        <w:t>a rendicontazione</w:t>
      </w:r>
      <w:r>
        <w:rPr>
          <w:rFonts w:ascii="Calibri" w:eastAsia="Times New Roman" w:hAnsi="Calibri" w:cs="Calibri"/>
          <w:color w:val="000000"/>
          <w:bdr w:val="none" w:sz="0" w:space="0" w:color="auto" w:frame="1"/>
          <w:lang w:eastAsia="it-IT"/>
        </w:rPr>
        <w:t xml:space="preserve"> viene presentata dal beneficiario pubblico</w:t>
      </w:r>
      <w:r w:rsidR="00E11AE8">
        <w:rPr>
          <w:rFonts w:ascii="Calibri" w:eastAsia="Times New Roman" w:hAnsi="Calibri" w:cs="Calibri"/>
          <w:color w:val="000000"/>
          <w:bdr w:val="none" w:sz="0" w:space="0" w:color="auto" w:frame="1"/>
          <w:lang w:eastAsia="it-IT"/>
        </w:rPr>
        <w:t>,</w:t>
      </w:r>
      <w:r>
        <w:rPr>
          <w:rFonts w:ascii="Calibri" w:eastAsia="Times New Roman" w:hAnsi="Calibri" w:cs="Calibri"/>
          <w:color w:val="000000"/>
          <w:bdr w:val="none" w:sz="0" w:space="0" w:color="auto" w:frame="1"/>
          <w:lang w:eastAsia="it-IT"/>
        </w:rPr>
        <w:t xml:space="preserve"> che </w:t>
      </w:r>
      <w:r w:rsidR="00842E84">
        <w:rPr>
          <w:rFonts w:ascii="Calibri" w:eastAsia="Times New Roman" w:hAnsi="Calibri" w:cs="Calibri"/>
          <w:color w:val="000000"/>
          <w:bdr w:val="none" w:sz="0" w:space="0" w:color="auto" w:frame="1"/>
          <w:lang w:eastAsia="it-IT"/>
        </w:rPr>
        <w:t>trasmette mediante l’applicativo Sfinge 2020</w:t>
      </w:r>
      <w:r>
        <w:rPr>
          <w:rFonts w:ascii="Calibri" w:eastAsia="Times New Roman" w:hAnsi="Calibri" w:cs="Calibri"/>
          <w:color w:val="000000"/>
          <w:bdr w:val="none" w:sz="0" w:space="0" w:color="auto" w:frame="1"/>
          <w:lang w:eastAsia="it-IT"/>
        </w:rPr>
        <w:t>:</w:t>
      </w:r>
      <w:r w:rsidR="00842E84">
        <w:rPr>
          <w:rFonts w:ascii="Calibri" w:eastAsia="Times New Roman" w:hAnsi="Calibri" w:cs="Calibri"/>
          <w:color w:val="000000"/>
          <w:bdr w:val="none" w:sz="0" w:space="0" w:color="auto" w:frame="1"/>
          <w:lang w:eastAsia="it-IT"/>
        </w:rPr>
        <w:t xml:space="preserve"> </w:t>
      </w:r>
    </w:p>
    <w:p w14:paraId="78C3DE97" w14:textId="77777777" w:rsidR="00842E84" w:rsidRPr="00842E84" w:rsidRDefault="00842E84" w:rsidP="00842E84">
      <w:pPr>
        <w:pStyle w:val="Paragrafoelenco"/>
        <w:numPr>
          <w:ilvl w:val="0"/>
          <w:numId w:val="3"/>
        </w:numPr>
        <w:shd w:val="clear" w:color="auto" w:fill="FFFFFF"/>
        <w:spacing w:after="0" w:line="240" w:lineRule="auto"/>
        <w:jc w:val="both"/>
        <w:rPr>
          <w:rFonts w:ascii="Calibri" w:eastAsia="Times New Roman" w:hAnsi="Calibri" w:cs="Calibri"/>
          <w:color w:val="000000"/>
          <w:lang w:eastAsia="it-IT"/>
        </w:rPr>
      </w:pPr>
      <w:r>
        <w:rPr>
          <w:rFonts w:ascii="Calibri" w:eastAsia="Times New Roman" w:hAnsi="Calibri" w:cs="Calibri"/>
          <w:color w:val="000000"/>
          <w:bdr w:val="none" w:sz="0" w:space="0" w:color="auto" w:frame="1"/>
          <w:lang w:eastAsia="it-IT"/>
        </w:rPr>
        <w:t xml:space="preserve">I canoni pagati all’aggiudicatario; </w:t>
      </w:r>
    </w:p>
    <w:p w14:paraId="0D3F4C4E" w14:textId="77777777" w:rsidR="00621D7C" w:rsidRPr="00842E84" w:rsidRDefault="00842E84" w:rsidP="00842E84">
      <w:pPr>
        <w:pStyle w:val="Paragrafoelenco"/>
        <w:numPr>
          <w:ilvl w:val="0"/>
          <w:numId w:val="3"/>
        </w:numPr>
        <w:shd w:val="clear" w:color="auto" w:fill="FFFFFF"/>
        <w:spacing w:after="0" w:line="240" w:lineRule="auto"/>
        <w:jc w:val="both"/>
        <w:rPr>
          <w:rFonts w:ascii="Calibri" w:eastAsia="Times New Roman" w:hAnsi="Calibri" w:cs="Calibri"/>
          <w:color w:val="000000"/>
          <w:lang w:eastAsia="it-IT"/>
        </w:rPr>
      </w:pPr>
      <w:r>
        <w:rPr>
          <w:rFonts w:ascii="Calibri" w:eastAsia="Times New Roman" w:hAnsi="Calibri" w:cs="Calibri"/>
          <w:color w:val="000000"/>
          <w:bdr w:val="none" w:sz="0" w:space="0" w:color="auto" w:frame="1"/>
          <w:lang w:eastAsia="it-IT"/>
        </w:rPr>
        <w:t>Le spese sostenute dall’aggiudicatario (fatture, pagamenti e quietanze)</w:t>
      </w:r>
      <w:r w:rsidR="00E11AE8">
        <w:rPr>
          <w:rFonts w:ascii="Calibri" w:eastAsia="Times New Roman" w:hAnsi="Calibri" w:cs="Calibri"/>
          <w:color w:val="000000"/>
          <w:bdr w:val="none" w:sz="0" w:space="0" w:color="auto" w:frame="1"/>
          <w:lang w:eastAsia="it-IT"/>
        </w:rPr>
        <w:t>;</w:t>
      </w:r>
      <w:r>
        <w:rPr>
          <w:rFonts w:ascii="Calibri" w:eastAsia="Times New Roman" w:hAnsi="Calibri" w:cs="Calibri"/>
          <w:color w:val="000000"/>
          <w:bdr w:val="none" w:sz="0" w:space="0" w:color="auto" w:frame="1"/>
          <w:lang w:eastAsia="it-IT"/>
        </w:rPr>
        <w:t xml:space="preserve"> </w:t>
      </w:r>
    </w:p>
    <w:p w14:paraId="505F1324" w14:textId="77777777" w:rsidR="00842E84" w:rsidRPr="00842E84" w:rsidRDefault="00842E84" w:rsidP="00842E84">
      <w:pPr>
        <w:pStyle w:val="Paragrafoelenco"/>
        <w:numPr>
          <w:ilvl w:val="0"/>
          <w:numId w:val="3"/>
        </w:numPr>
        <w:shd w:val="clear" w:color="auto" w:fill="FFFFFF"/>
        <w:spacing w:after="0" w:line="240" w:lineRule="auto"/>
        <w:jc w:val="both"/>
        <w:rPr>
          <w:rFonts w:ascii="Calibri" w:eastAsia="Times New Roman" w:hAnsi="Calibri" w:cs="Calibri"/>
          <w:color w:val="000000"/>
          <w:lang w:eastAsia="it-IT"/>
        </w:rPr>
      </w:pPr>
      <w:r>
        <w:rPr>
          <w:rFonts w:ascii="Calibri" w:eastAsia="Times New Roman" w:hAnsi="Calibri" w:cs="Calibri"/>
          <w:color w:val="000000"/>
          <w:bdr w:val="none" w:sz="0" w:space="0" w:color="auto" w:frame="1"/>
          <w:lang w:eastAsia="it-IT"/>
        </w:rPr>
        <w:t xml:space="preserve">La check list di autovalutazione della procedura riferita all’appalto aggiudicato secondo i modelli disponibili al link: </w:t>
      </w:r>
      <w:hyperlink r:id="rId9" w:history="1">
        <w:r w:rsidRPr="00341FFF">
          <w:rPr>
            <w:rStyle w:val="Collegamentoipertestuale"/>
            <w:rFonts w:ascii="Calibri" w:eastAsia="Times New Roman" w:hAnsi="Calibri" w:cs="Calibri"/>
            <w:bdr w:val="none" w:sz="0" w:space="0" w:color="auto" w:frame="1"/>
            <w:lang w:eastAsia="it-IT"/>
          </w:rPr>
          <w:t>https://fesr.regione.emilia-romagna.it/opportunita/2017/check-list-di-autovalutazione-delle-procedure-per-l2019affidamento-dei-contratti-pubblici-ai-sensi-del-codice-dei-contratti-vigente/check-list</w:t>
        </w:r>
      </w:hyperlink>
    </w:p>
    <w:p w14:paraId="6A6E3EDE" w14:textId="77777777" w:rsidR="00842E84" w:rsidRDefault="00842E84" w:rsidP="00842E84">
      <w:pPr>
        <w:shd w:val="clear" w:color="auto" w:fill="FFFFFF"/>
        <w:spacing w:after="0" w:line="240" w:lineRule="auto"/>
        <w:jc w:val="both"/>
        <w:rPr>
          <w:rFonts w:ascii="Calibri" w:eastAsia="Times New Roman" w:hAnsi="Calibri" w:cs="Calibri"/>
          <w:color w:val="000000"/>
          <w:lang w:eastAsia="it-IT"/>
        </w:rPr>
      </w:pPr>
    </w:p>
    <w:p w14:paraId="226EAEFB" w14:textId="77777777" w:rsidR="00842E84" w:rsidRDefault="00842E84" w:rsidP="00842E84">
      <w:pPr>
        <w:shd w:val="clear" w:color="auto" w:fill="FFFFFF"/>
        <w:spacing w:after="0" w:line="240" w:lineRule="auto"/>
        <w:jc w:val="both"/>
        <w:rPr>
          <w:rFonts w:ascii="Calibri" w:eastAsia="Times New Roman" w:hAnsi="Calibri" w:cs="Calibri"/>
          <w:color w:val="000000"/>
          <w:lang w:eastAsia="it-IT"/>
        </w:rPr>
      </w:pPr>
    </w:p>
    <w:p w14:paraId="0B3B8EFB" w14:textId="77777777" w:rsidR="00842E84" w:rsidRDefault="00842E84" w:rsidP="00842E84">
      <w:pPr>
        <w:shd w:val="clear" w:color="auto" w:fill="FFFFFF"/>
        <w:spacing w:after="0" w:line="240" w:lineRule="auto"/>
        <w:jc w:val="both"/>
        <w:rPr>
          <w:rFonts w:ascii="Calibri" w:eastAsia="Times New Roman" w:hAnsi="Calibri" w:cs="Calibri"/>
          <w:color w:val="000000"/>
          <w:lang w:eastAsia="it-IT"/>
        </w:rPr>
      </w:pPr>
    </w:p>
    <w:p w14:paraId="06E8E4B7" w14:textId="77777777" w:rsidR="004874E8" w:rsidRDefault="004874E8" w:rsidP="00842E84">
      <w:pPr>
        <w:shd w:val="clear" w:color="auto" w:fill="FFFFFF"/>
        <w:spacing w:after="0" w:line="240" w:lineRule="auto"/>
        <w:jc w:val="both"/>
        <w:rPr>
          <w:rFonts w:ascii="Calibri" w:eastAsia="Times New Roman" w:hAnsi="Calibri" w:cs="Calibri"/>
          <w:color w:val="000000"/>
          <w:bdr w:val="none" w:sz="0" w:space="0" w:color="auto" w:frame="1"/>
          <w:lang w:eastAsia="it-IT"/>
        </w:rPr>
      </w:pPr>
      <w:r>
        <w:rPr>
          <w:rFonts w:ascii="Calibri" w:eastAsia="Times New Roman" w:hAnsi="Calibri" w:cs="Calibri"/>
          <w:color w:val="000000"/>
          <w:bdr w:val="none" w:sz="0" w:space="0" w:color="auto" w:frame="1"/>
          <w:lang w:eastAsia="it-IT"/>
        </w:rPr>
        <w:t>ESEMPI</w:t>
      </w:r>
      <w:r w:rsidR="00E418EA">
        <w:rPr>
          <w:rFonts w:ascii="Calibri" w:eastAsia="Times New Roman" w:hAnsi="Calibri" w:cs="Calibri"/>
          <w:color w:val="000000"/>
          <w:bdr w:val="none" w:sz="0" w:space="0" w:color="auto" w:frame="1"/>
          <w:lang w:eastAsia="it-IT"/>
        </w:rPr>
        <w:t xml:space="preserve"> DI CALCOLO DEL CONTRIBUTO PER I CONTRATTI DI APPALTO AL VARIARE DEI COSTI AMMISSIBILI</w:t>
      </w:r>
      <w:r>
        <w:rPr>
          <w:rFonts w:ascii="Calibri" w:eastAsia="Times New Roman" w:hAnsi="Calibri" w:cs="Calibri"/>
          <w:color w:val="000000"/>
          <w:bdr w:val="none" w:sz="0" w:space="0" w:color="auto" w:frame="1"/>
          <w:lang w:eastAsia="it-IT"/>
        </w:rPr>
        <w:t>:</w:t>
      </w:r>
    </w:p>
    <w:p w14:paraId="2F9AF66E" w14:textId="77777777" w:rsidR="004874E8" w:rsidRPr="00621D7C" w:rsidRDefault="004874E8" w:rsidP="00621D7C">
      <w:pPr>
        <w:shd w:val="clear" w:color="auto" w:fill="FFFFFF"/>
        <w:spacing w:after="0" w:line="240" w:lineRule="auto"/>
        <w:ind w:left="720"/>
        <w:jc w:val="both"/>
        <w:rPr>
          <w:rFonts w:ascii="Calibri" w:eastAsia="Times New Roman" w:hAnsi="Calibri" w:cs="Calibri"/>
          <w:color w:val="000000"/>
          <w:lang w:eastAsia="it-IT"/>
        </w:rPr>
      </w:pPr>
    </w:p>
    <w:tbl>
      <w:tblPr>
        <w:tblW w:w="9962" w:type="dxa"/>
        <w:shd w:val="clear" w:color="auto" w:fill="FFFFFF"/>
        <w:tblCellMar>
          <w:left w:w="0" w:type="dxa"/>
          <w:right w:w="0" w:type="dxa"/>
        </w:tblCellMar>
        <w:tblLook w:val="04A0" w:firstRow="1" w:lastRow="0" w:firstColumn="1" w:lastColumn="0" w:noHBand="0" w:noVBand="1"/>
      </w:tblPr>
      <w:tblGrid>
        <w:gridCol w:w="870"/>
        <w:gridCol w:w="4791"/>
        <w:gridCol w:w="901"/>
        <w:gridCol w:w="901"/>
        <w:gridCol w:w="901"/>
        <w:gridCol w:w="901"/>
        <w:gridCol w:w="901"/>
      </w:tblGrid>
      <w:tr w:rsidR="00621D7C" w:rsidRPr="00621D7C" w14:paraId="3B7B88D6" w14:textId="77777777" w:rsidTr="00621D7C">
        <w:trPr>
          <w:trHeight w:val="576"/>
        </w:trPr>
        <w:tc>
          <w:tcPr>
            <w:tcW w:w="87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6ECAB68" w14:textId="77777777" w:rsidR="00621D7C" w:rsidRPr="00621D7C" w:rsidRDefault="00621D7C" w:rsidP="00621D7C">
            <w:pPr>
              <w:spacing w:after="0" w:line="240" w:lineRule="auto"/>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 </w:t>
            </w:r>
          </w:p>
        </w:tc>
        <w:tc>
          <w:tcPr>
            <w:tcW w:w="479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0789FA2" w14:textId="77777777" w:rsidR="00621D7C" w:rsidRPr="00621D7C" w:rsidRDefault="00621D7C" w:rsidP="00621D7C">
            <w:pPr>
              <w:spacing w:after="0" w:line="240" w:lineRule="auto"/>
              <w:jc w:val="both"/>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 </w:t>
            </w:r>
          </w:p>
        </w:tc>
        <w:tc>
          <w:tcPr>
            <w:tcW w:w="86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E90BE13" w14:textId="77777777" w:rsidR="00621D7C" w:rsidRPr="00621D7C" w:rsidRDefault="00621D7C" w:rsidP="00621D7C">
            <w:pPr>
              <w:spacing w:after="0" w:line="240" w:lineRule="auto"/>
              <w:jc w:val="both"/>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Esempio 1</w:t>
            </w:r>
          </w:p>
        </w:tc>
        <w:tc>
          <w:tcPr>
            <w:tcW w:w="86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1D8CFE5" w14:textId="77777777" w:rsidR="00621D7C" w:rsidRPr="00621D7C" w:rsidRDefault="00621D7C" w:rsidP="00621D7C">
            <w:pPr>
              <w:spacing w:after="0" w:line="240" w:lineRule="auto"/>
              <w:jc w:val="both"/>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Esempio 2</w:t>
            </w:r>
          </w:p>
        </w:tc>
        <w:tc>
          <w:tcPr>
            <w:tcW w:w="86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5AC5ABD" w14:textId="77777777" w:rsidR="00621D7C" w:rsidRPr="00621D7C" w:rsidRDefault="00621D7C" w:rsidP="00621D7C">
            <w:pPr>
              <w:spacing w:after="0" w:line="240" w:lineRule="auto"/>
              <w:jc w:val="both"/>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Esempio 3</w:t>
            </w:r>
          </w:p>
        </w:tc>
        <w:tc>
          <w:tcPr>
            <w:tcW w:w="86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021B046" w14:textId="77777777" w:rsidR="00621D7C" w:rsidRPr="00621D7C" w:rsidRDefault="00621D7C" w:rsidP="00621D7C">
            <w:pPr>
              <w:spacing w:after="0" w:line="240" w:lineRule="auto"/>
              <w:jc w:val="both"/>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Esempio 4</w:t>
            </w:r>
          </w:p>
        </w:tc>
        <w:tc>
          <w:tcPr>
            <w:tcW w:w="86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77415F6" w14:textId="77777777" w:rsidR="00621D7C" w:rsidRPr="00621D7C" w:rsidRDefault="00621D7C" w:rsidP="00621D7C">
            <w:pPr>
              <w:spacing w:after="0" w:line="240" w:lineRule="auto"/>
              <w:jc w:val="both"/>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Esempio 5</w:t>
            </w:r>
          </w:p>
        </w:tc>
      </w:tr>
      <w:tr w:rsidR="00621D7C" w:rsidRPr="00621D7C" w14:paraId="368096AB" w14:textId="77777777" w:rsidTr="00621D7C">
        <w:trPr>
          <w:trHeight w:val="576"/>
        </w:trPr>
        <w:tc>
          <w:tcPr>
            <w:tcW w:w="87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D3D46FF" w14:textId="77777777" w:rsidR="00621D7C" w:rsidRPr="00621D7C" w:rsidRDefault="00621D7C" w:rsidP="00621D7C">
            <w:pPr>
              <w:spacing w:after="0" w:line="240" w:lineRule="auto"/>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A</w:t>
            </w:r>
          </w:p>
        </w:tc>
        <w:tc>
          <w:tcPr>
            <w:tcW w:w="4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2D96288" w14:textId="77777777" w:rsidR="00621D7C" w:rsidRPr="00621D7C" w:rsidRDefault="00621D7C" w:rsidP="00621D7C">
            <w:pPr>
              <w:spacing w:after="0" w:line="240" w:lineRule="auto"/>
              <w:jc w:val="both"/>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Costo del progetto ammesso a contributo</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8A5B03B"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100</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766A373"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100</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7993F5A"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100</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D2051F6"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100</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BF5245B"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100</w:t>
            </w:r>
          </w:p>
        </w:tc>
      </w:tr>
      <w:tr w:rsidR="00621D7C" w:rsidRPr="00621D7C" w14:paraId="3C220336" w14:textId="77777777" w:rsidTr="00621D7C">
        <w:trPr>
          <w:trHeight w:val="288"/>
        </w:trPr>
        <w:tc>
          <w:tcPr>
            <w:tcW w:w="87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E20EF44" w14:textId="77777777" w:rsidR="00621D7C" w:rsidRPr="00621D7C" w:rsidRDefault="00621D7C" w:rsidP="00621D7C">
            <w:pPr>
              <w:spacing w:after="0" w:line="240" w:lineRule="auto"/>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B</w:t>
            </w:r>
          </w:p>
        </w:tc>
        <w:tc>
          <w:tcPr>
            <w:tcW w:w="4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087F90A" w14:textId="77777777" w:rsidR="00621D7C" w:rsidRPr="00621D7C" w:rsidRDefault="00621D7C" w:rsidP="00621D7C">
            <w:pPr>
              <w:spacing w:after="0" w:line="240" w:lineRule="auto"/>
              <w:jc w:val="both"/>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Contributo concesso</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B69DFDC"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30</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7BDAB9F"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30</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26DF583"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30</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F707B15"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30</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92E9BF5"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30</w:t>
            </w:r>
          </w:p>
        </w:tc>
      </w:tr>
      <w:tr w:rsidR="00621D7C" w:rsidRPr="00621D7C" w14:paraId="01FCBED4" w14:textId="77777777" w:rsidTr="00621D7C">
        <w:trPr>
          <w:trHeight w:val="288"/>
        </w:trPr>
        <w:tc>
          <w:tcPr>
            <w:tcW w:w="87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FE1F618" w14:textId="77777777" w:rsidR="00621D7C" w:rsidRPr="00621D7C" w:rsidRDefault="00621D7C" w:rsidP="00621D7C">
            <w:pPr>
              <w:spacing w:after="0" w:line="240" w:lineRule="auto"/>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C</w:t>
            </w:r>
          </w:p>
        </w:tc>
        <w:tc>
          <w:tcPr>
            <w:tcW w:w="4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AAB01DD" w14:textId="77777777" w:rsidR="00621D7C" w:rsidRPr="00621D7C" w:rsidRDefault="00621D7C" w:rsidP="00621D7C">
            <w:pPr>
              <w:spacing w:after="0" w:line="240" w:lineRule="auto"/>
              <w:jc w:val="both"/>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 di contributo</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D733A9A"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30%</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89BEC14"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30%</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0BC95B4"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30%</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DC7FD71"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30%</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C52DD33"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30%</w:t>
            </w:r>
          </w:p>
        </w:tc>
      </w:tr>
      <w:tr w:rsidR="00621D7C" w:rsidRPr="00621D7C" w14:paraId="27CE353D" w14:textId="77777777" w:rsidTr="00621D7C">
        <w:trPr>
          <w:trHeight w:val="576"/>
        </w:trPr>
        <w:tc>
          <w:tcPr>
            <w:tcW w:w="87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8318190" w14:textId="77777777" w:rsidR="00621D7C" w:rsidRPr="00621D7C" w:rsidRDefault="00621D7C" w:rsidP="00621D7C">
            <w:pPr>
              <w:spacing w:after="0" w:line="240" w:lineRule="auto"/>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D</w:t>
            </w:r>
          </w:p>
        </w:tc>
        <w:tc>
          <w:tcPr>
            <w:tcW w:w="4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E445424" w14:textId="77777777" w:rsidR="00621D7C" w:rsidRPr="00621D7C" w:rsidRDefault="00621D7C" w:rsidP="00621D7C">
            <w:pPr>
              <w:spacing w:after="0" w:line="240" w:lineRule="auto"/>
              <w:jc w:val="both"/>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Costi</w:t>
            </w:r>
            <w:r w:rsidR="00A81F3D">
              <w:rPr>
                <w:rFonts w:ascii="Calibri" w:eastAsia="Times New Roman" w:hAnsi="Calibri" w:cs="Calibri"/>
                <w:color w:val="000000"/>
                <w:bdr w:val="none" w:sz="0" w:space="0" w:color="auto" w:frame="1"/>
                <w:lang w:eastAsia="it-IT"/>
              </w:rPr>
              <w:t xml:space="preserve"> ammissibili</w:t>
            </w:r>
            <w:r w:rsidRPr="00621D7C">
              <w:rPr>
                <w:rFonts w:ascii="Calibri" w:eastAsia="Times New Roman" w:hAnsi="Calibri" w:cs="Calibri"/>
                <w:color w:val="000000"/>
                <w:bdr w:val="none" w:sz="0" w:space="0" w:color="auto" w:frame="1"/>
                <w:lang w:eastAsia="it-IT"/>
              </w:rPr>
              <w:t xml:space="preserve"> sostenuti dall'aggiudicatario</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E5CF053"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100</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E7C74BE"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90</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797A000"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100</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EE1E6F5"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90</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B661F5E"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97</w:t>
            </w:r>
          </w:p>
        </w:tc>
      </w:tr>
      <w:tr w:rsidR="00621D7C" w:rsidRPr="00621D7C" w14:paraId="1B28F592" w14:textId="77777777" w:rsidTr="00621D7C">
        <w:trPr>
          <w:trHeight w:val="864"/>
        </w:trPr>
        <w:tc>
          <w:tcPr>
            <w:tcW w:w="87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CDD21B4" w14:textId="77777777" w:rsidR="00621D7C" w:rsidRPr="00621D7C" w:rsidRDefault="00621D7C" w:rsidP="00621D7C">
            <w:pPr>
              <w:spacing w:after="0" w:line="240" w:lineRule="auto"/>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E</w:t>
            </w:r>
          </w:p>
        </w:tc>
        <w:tc>
          <w:tcPr>
            <w:tcW w:w="4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A62C73D" w14:textId="77777777" w:rsidR="00621D7C" w:rsidRPr="00621D7C" w:rsidRDefault="00621D7C" w:rsidP="00621D7C">
            <w:pPr>
              <w:spacing w:after="0" w:line="240" w:lineRule="auto"/>
              <w:jc w:val="both"/>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contributo pagato dal beneficiario pubblico all'aggiudicatario</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A82489F"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30</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328F751"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30</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5A4CC80"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25</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E45F789"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25</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D35FC9C"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29,5</w:t>
            </w:r>
          </w:p>
        </w:tc>
      </w:tr>
      <w:tr w:rsidR="00621D7C" w:rsidRPr="00621D7C" w14:paraId="4862AB69" w14:textId="77777777" w:rsidTr="00621D7C">
        <w:trPr>
          <w:trHeight w:val="288"/>
        </w:trPr>
        <w:tc>
          <w:tcPr>
            <w:tcW w:w="87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D619020" w14:textId="77777777" w:rsidR="00621D7C" w:rsidRPr="00621D7C" w:rsidRDefault="00621D7C" w:rsidP="00621D7C">
            <w:pPr>
              <w:spacing w:after="0" w:line="240" w:lineRule="auto"/>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 </w:t>
            </w:r>
          </w:p>
        </w:tc>
        <w:tc>
          <w:tcPr>
            <w:tcW w:w="4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2E2C3EF" w14:textId="77777777" w:rsidR="00621D7C" w:rsidRPr="00621D7C" w:rsidRDefault="00621D7C" w:rsidP="00621D7C">
            <w:pPr>
              <w:spacing w:after="0" w:line="240" w:lineRule="auto"/>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 </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0839D64" w14:textId="77777777" w:rsidR="00621D7C" w:rsidRPr="00621D7C" w:rsidRDefault="00621D7C" w:rsidP="00621D7C">
            <w:pPr>
              <w:spacing w:after="0" w:line="240" w:lineRule="auto"/>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 </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439B8A7" w14:textId="77777777" w:rsidR="00621D7C" w:rsidRPr="00621D7C" w:rsidRDefault="00621D7C" w:rsidP="00621D7C">
            <w:pPr>
              <w:spacing w:after="0" w:line="240" w:lineRule="auto"/>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 </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56DC8C5" w14:textId="77777777" w:rsidR="00621D7C" w:rsidRPr="00621D7C" w:rsidRDefault="00621D7C" w:rsidP="00621D7C">
            <w:pPr>
              <w:spacing w:after="0" w:line="240" w:lineRule="auto"/>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 </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FBBF44D" w14:textId="77777777" w:rsidR="00621D7C" w:rsidRPr="00621D7C" w:rsidRDefault="00621D7C" w:rsidP="00621D7C">
            <w:pPr>
              <w:spacing w:after="0" w:line="240" w:lineRule="auto"/>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 </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897F36F" w14:textId="77777777" w:rsidR="00621D7C" w:rsidRPr="00621D7C" w:rsidRDefault="00621D7C" w:rsidP="00621D7C">
            <w:pPr>
              <w:spacing w:after="0" w:line="240" w:lineRule="auto"/>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 </w:t>
            </w:r>
          </w:p>
        </w:tc>
      </w:tr>
      <w:tr w:rsidR="00621D7C" w:rsidRPr="00621D7C" w14:paraId="14053B4C" w14:textId="77777777" w:rsidTr="00621D7C">
        <w:trPr>
          <w:trHeight w:val="288"/>
        </w:trPr>
        <w:tc>
          <w:tcPr>
            <w:tcW w:w="87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C56BCEE" w14:textId="77777777" w:rsidR="00621D7C" w:rsidRPr="00621D7C" w:rsidRDefault="00621D7C" w:rsidP="00621D7C">
            <w:pPr>
              <w:spacing w:after="0" w:line="240" w:lineRule="auto"/>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F</w:t>
            </w:r>
          </w:p>
        </w:tc>
        <w:tc>
          <w:tcPr>
            <w:tcW w:w="47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69AAB82" w14:textId="77777777" w:rsidR="00621D7C" w:rsidRPr="00621D7C" w:rsidRDefault="00621D7C" w:rsidP="00621D7C">
            <w:pPr>
              <w:spacing w:after="0" w:line="240" w:lineRule="auto"/>
              <w:jc w:val="both"/>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il minore fra (C*D) ed E</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6B28B25"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30</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A90DA18"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27</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20B816B"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25</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E70B046"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25</w:t>
            </w:r>
          </w:p>
        </w:tc>
        <w:tc>
          <w:tcPr>
            <w:tcW w:w="8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427556F" w14:textId="77777777" w:rsidR="00621D7C" w:rsidRPr="00621D7C" w:rsidRDefault="00621D7C" w:rsidP="00621D7C">
            <w:pPr>
              <w:spacing w:after="0" w:line="240" w:lineRule="auto"/>
              <w:jc w:val="right"/>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29,1</w:t>
            </w:r>
          </w:p>
        </w:tc>
      </w:tr>
    </w:tbl>
    <w:p w14:paraId="27C0A063" w14:textId="77777777" w:rsidR="00621D7C" w:rsidRPr="00621D7C" w:rsidRDefault="00621D7C" w:rsidP="00621D7C">
      <w:pPr>
        <w:shd w:val="clear" w:color="auto" w:fill="FFFFFF"/>
        <w:spacing w:after="0" w:line="240" w:lineRule="auto"/>
        <w:jc w:val="both"/>
        <w:rPr>
          <w:rFonts w:ascii="Calibri" w:eastAsia="Times New Roman" w:hAnsi="Calibri" w:cs="Calibri"/>
          <w:color w:val="000000"/>
          <w:lang w:eastAsia="it-IT"/>
        </w:rPr>
      </w:pPr>
      <w:r w:rsidRPr="00621D7C">
        <w:rPr>
          <w:rFonts w:ascii="Calibri" w:eastAsia="Times New Roman" w:hAnsi="Calibri" w:cs="Calibri"/>
          <w:color w:val="000000"/>
          <w:bdr w:val="none" w:sz="0" w:space="0" w:color="auto" w:frame="1"/>
          <w:lang w:eastAsia="it-IT"/>
        </w:rPr>
        <w:t> </w:t>
      </w:r>
    </w:p>
    <w:p w14:paraId="23D5BE46" w14:textId="77777777" w:rsidR="00A81F3D" w:rsidRDefault="00842E84" w:rsidP="003F1928">
      <w:pPr>
        <w:pStyle w:val="NormaleWeb"/>
        <w:shd w:val="clear" w:color="auto" w:fill="FFFFFF"/>
        <w:spacing w:before="0" w:beforeAutospacing="0" w:after="0" w:afterAutospacing="0"/>
        <w:jc w:val="both"/>
        <w:rPr>
          <w:rFonts w:ascii="Calibri" w:hAnsi="Calibri" w:cs="Calibri"/>
          <w:color w:val="1F497D"/>
          <w:sz w:val="22"/>
          <w:szCs w:val="22"/>
          <w:bdr w:val="none" w:sz="0" w:space="0" w:color="auto" w:frame="1"/>
        </w:rPr>
      </w:pPr>
      <w:r>
        <w:rPr>
          <w:rFonts w:ascii="Calibri" w:hAnsi="Calibri" w:cs="Calibri"/>
          <w:color w:val="000000"/>
          <w:bdr w:val="none" w:sz="0" w:space="0" w:color="auto" w:frame="1"/>
        </w:rPr>
        <w:t xml:space="preserve">Per i progetti già in corso di rendicontazione al momento dell’adozione delle presenti linee guida verrà richiesto ai beneficiari in sede di integrazione documentale di presentare i canoni corrisposti all’aggiudicatario dell’appalto. </w:t>
      </w:r>
    </w:p>
    <w:p w14:paraId="59F141C5" w14:textId="77777777" w:rsidR="00A81F3D" w:rsidRDefault="00A81F3D" w:rsidP="00A81F3D">
      <w:pPr>
        <w:pStyle w:val="NormaleWeb"/>
        <w:shd w:val="clear" w:color="auto" w:fill="FFFFFF"/>
        <w:spacing w:before="0" w:beforeAutospacing="0" w:after="0" w:afterAutospacing="0"/>
        <w:rPr>
          <w:rFonts w:ascii="Calibri" w:hAnsi="Calibri" w:cs="Calibri"/>
          <w:color w:val="1F497D"/>
          <w:sz w:val="22"/>
          <w:szCs w:val="22"/>
          <w:bdr w:val="none" w:sz="0" w:space="0" w:color="auto" w:frame="1"/>
        </w:rPr>
      </w:pPr>
    </w:p>
    <w:p w14:paraId="17750134" w14:textId="77777777" w:rsidR="0067648A" w:rsidRDefault="0067648A" w:rsidP="00A81F3D">
      <w:pPr>
        <w:pStyle w:val="NormaleWeb"/>
        <w:shd w:val="clear" w:color="auto" w:fill="FFFFFF"/>
        <w:spacing w:before="0" w:beforeAutospacing="0" w:after="0" w:afterAutospacing="0"/>
        <w:rPr>
          <w:rFonts w:ascii="Calibri" w:hAnsi="Calibri" w:cs="Calibri"/>
          <w:color w:val="1F497D"/>
          <w:sz w:val="22"/>
          <w:szCs w:val="22"/>
          <w:bdr w:val="none" w:sz="0" w:space="0" w:color="auto" w:frame="1"/>
        </w:rPr>
      </w:pPr>
    </w:p>
    <w:sectPr w:rsidR="0067648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D252F" w14:textId="77777777" w:rsidR="000872FC" w:rsidRDefault="000872FC" w:rsidP="00B20F67">
      <w:pPr>
        <w:spacing w:after="0" w:line="240" w:lineRule="auto"/>
      </w:pPr>
      <w:r>
        <w:separator/>
      </w:r>
    </w:p>
  </w:endnote>
  <w:endnote w:type="continuationSeparator" w:id="0">
    <w:p w14:paraId="06F917ED" w14:textId="77777777" w:rsidR="000872FC" w:rsidRDefault="000872FC" w:rsidP="00B2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BEB2C" w14:textId="77777777" w:rsidR="000872FC" w:rsidRDefault="000872FC" w:rsidP="00B20F67">
      <w:pPr>
        <w:spacing w:after="0" w:line="240" w:lineRule="auto"/>
      </w:pPr>
      <w:r>
        <w:separator/>
      </w:r>
    </w:p>
  </w:footnote>
  <w:footnote w:type="continuationSeparator" w:id="0">
    <w:p w14:paraId="6D7376AE" w14:textId="77777777" w:rsidR="000872FC" w:rsidRDefault="000872FC" w:rsidP="00B20F67">
      <w:pPr>
        <w:spacing w:after="0" w:line="240" w:lineRule="auto"/>
      </w:pPr>
      <w:r>
        <w:continuationSeparator/>
      </w:r>
    </w:p>
  </w:footnote>
  <w:footnote w:id="1">
    <w:p w14:paraId="50C3B609" w14:textId="77777777" w:rsidR="00BB2255" w:rsidRPr="00F5579C" w:rsidRDefault="00BB2255" w:rsidP="00BB2255">
      <w:pPr>
        <w:pStyle w:val="Testonotaapidipagina"/>
        <w:jc w:val="both"/>
      </w:pPr>
      <w:r w:rsidRPr="00F5579C">
        <w:rPr>
          <w:rStyle w:val="Rimandonotaapidipagina"/>
        </w:rPr>
        <w:footnoteRef/>
      </w:r>
      <w:r w:rsidRPr="00F5579C">
        <w:t xml:space="preserve"> Gli articoli del Regolamento n. 1303/2013 che disciplinano il PPP sono </w:t>
      </w:r>
      <w:proofErr w:type="spellStart"/>
      <w:r w:rsidRPr="00F5579C">
        <w:t>nn</w:t>
      </w:r>
      <w:proofErr w:type="spellEnd"/>
      <w:r w:rsidRPr="00F5579C">
        <w:t>. 62-64</w:t>
      </w:r>
    </w:p>
  </w:footnote>
  <w:footnote w:id="2">
    <w:p w14:paraId="7F2B4F4F" w14:textId="77777777" w:rsidR="00F5579C" w:rsidRDefault="00F5579C" w:rsidP="00F5579C">
      <w:pPr>
        <w:pStyle w:val="Testonotaapidipagina"/>
        <w:jc w:val="both"/>
      </w:pPr>
      <w:r w:rsidRPr="00F5579C">
        <w:rPr>
          <w:rStyle w:val="Rimandonotaapidipagina"/>
        </w:rPr>
        <w:footnoteRef/>
      </w:r>
      <w:r w:rsidRPr="00F5579C">
        <w:t xml:space="preserve"> Art. 2 punto 26 Reg. 1303/2013: "conto di garanzia": un conto bancario oggetto di un accordo scritto tra un'autorità di gestione, o un organismo intermedio, e l'organismo che attua uno strumento finanziario, o, nel caso di un'operazione PPP, un accordo scritto tra un organismo pubblico beneficiario e il partner privato approvato dall'autorità di gestione, o da un organismo intermedio, aperto specificatamente per detenere fondi che saranno erogati dopo il periodo di ammissibilità (</w:t>
      </w:r>
      <w:proofErr w:type="spellStart"/>
      <w:r w:rsidRPr="00F5579C">
        <w:t>ndr</w:t>
      </w:r>
      <w:proofErr w:type="spellEnd"/>
      <w:r w:rsidRPr="00F5579C">
        <w:t>: 2023), esclusivamente per gli scopi di cui all'articolo 42, paragrafo 1, lettera c), all'articolo 42, paragrafi 2 e 3, e dall'articolo 64, oppure un conto bancario aperto sulla base di condizioni che offrano garanzie equivalenti circa i pagamenti effettuati tramite i fondi (</w:t>
      </w:r>
      <w:proofErr w:type="spellStart"/>
      <w:r w:rsidRPr="00F5579C">
        <w:t>ndr</w:t>
      </w:r>
      <w:proofErr w:type="spellEnd"/>
      <w:r w:rsidRPr="00F5579C">
        <w:t xml:space="preserve">: </w:t>
      </w:r>
      <w:r w:rsidRPr="00F30773">
        <w:t>l’opzione più semplice e preferibile qualora l’accordo preveda che i pagamenti avvengano integralmente entro il 2023</w:t>
      </w:r>
      <w:r w:rsidRPr="00F5579C">
        <w:t>);</w:t>
      </w:r>
    </w:p>
  </w:footnote>
  <w:footnote w:id="3">
    <w:p w14:paraId="3B8E73F3" w14:textId="77777777" w:rsidR="00647E01" w:rsidRPr="00F30773" w:rsidRDefault="00647E01" w:rsidP="00647E01">
      <w:pPr>
        <w:pStyle w:val="Testonotaapidipagina"/>
        <w:jc w:val="both"/>
        <w:rPr>
          <w:rFonts w:ascii="Calibri" w:eastAsia="Times New Roman" w:hAnsi="Calibri" w:cs="Calibri"/>
          <w:color w:val="000000"/>
          <w:bdr w:val="none" w:sz="0" w:space="0" w:color="auto" w:frame="1"/>
          <w:lang w:eastAsia="it-IT"/>
        </w:rPr>
      </w:pPr>
      <w:r w:rsidRPr="00F5579C">
        <w:rPr>
          <w:rStyle w:val="Rimandonotaapidipagina"/>
        </w:rPr>
        <w:footnoteRef/>
      </w:r>
      <w:r w:rsidRPr="00F5579C">
        <w:rPr>
          <w:rFonts w:ascii="Calibri" w:eastAsia="Times New Roman" w:hAnsi="Calibri" w:cs="Calibri"/>
          <w:color w:val="000000"/>
          <w:bdr w:val="none" w:sz="0" w:space="0" w:color="auto" w:frame="1"/>
          <w:lang w:eastAsia="it-IT"/>
        </w:rPr>
        <w:t xml:space="preserve"> </w:t>
      </w:r>
      <w:r w:rsidRPr="00F30773">
        <w:rPr>
          <w:rFonts w:ascii="Calibri" w:eastAsia="Times New Roman" w:hAnsi="Calibri" w:cs="Calibri"/>
          <w:color w:val="000000"/>
          <w:bdr w:val="none" w:sz="0" w:space="0" w:color="auto" w:frame="1"/>
          <w:lang w:eastAsia="it-IT"/>
        </w:rPr>
        <w:t>· il beneficiario/soggetto pubblico versa al partner privato le quote dovute in funzione della parte di spesa da questi sostenuta, sulla base di quanto previsto nell’accordo PPP </w:t>
      </w:r>
    </w:p>
    <w:p w14:paraId="6302FAA1" w14:textId="77777777" w:rsidR="00647E01" w:rsidRDefault="00647E01" w:rsidP="00647E01">
      <w:pPr>
        <w:pStyle w:val="Testonotaapidipagina"/>
        <w:jc w:val="both"/>
      </w:pPr>
      <w:proofErr w:type="gramStart"/>
      <w:r w:rsidRPr="00F30773">
        <w:rPr>
          <w:rFonts w:ascii="Calibri" w:eastAsia="Times New Roman" w:hAnsi="Calibri" w:cs="Calibri"/>
          <w:color w:val="000000"/>
          <w:bdr w:val="none" w:sz="0" w:space="0" w:color="auto" w:frame="1"/>
          <w:lang w:eastAsia="it-IT"/>
        </w:rPr>
        <w:t>·  il</w:t>
      </w:r>
      <w:proofErr w:type="gramEnd"/>
      <w:r w:rsidRPr="00F30773">
        <w:rPr>
          <w:rFonts w:ascii="Calibri" w:eastAsia="Times New Roman" w:hAnsi="Calibri" w:cs="Calibri"/>
          <w:color w:val="000000"/>
          <w:bdr w:val="none" w:sz="0" w:space="0" w:color="auto" w:frame="1"/>
          <w:lang w:eastAsia="it-IT"/>
        </w:rPr>
        <w:t xml:space="preserve"> beneficiario/soggetto pubblico, che è titolare del conto di garanzia, informa l’</w:t>
      </w:r>
      <w:proofErr w:type="spellStart"/>
      <w:r w:rsidRPr="00F30773">
        <w:rPr>
          <w:rFonts w:ascii="Calibri" w:eastAsia="Times New Roman" w:hAnsi="Calibri" w:cs="Calibri"/>
          <w:color w:val="000000"/>
          <w:bdr w:val="none" w:sz="0" w:space="0" w:color="auto" w:frame="1"/>
          <w:lang w:eastAsia="it-IT"/>
        </w:rPr>
        <w:t>AdG</w:t>
      </w:r>
      <w:proofErr w:type="spellEnd"/>
      <w:r w:rsidRPr="00F30773">
        <w:rPr>
          <w:rFonts w:ascii="Calibri" w:eastAsia="Times New Roman" w:hAnsi="Calibri" w:cs="Calibri"/>
          <w:color w:val="000000"/>
          <w:bdr w:val="none" w:sz="0" w:space="0" w:color="auto" w:frame="1"/>
          <w:lang w:eastAsia="it-IT"/>
        </w:rPr>
        <w:t xml:space="preserve"> in merito ai fondi erogati e al saldo del conto</w:t>
      </w:r>
      <w:r w:rsidRPr="00F30773">
        <w:rPr>
          <w:highlight w:val="re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C7D81"/>
    <w:multiLevelType w:val="hybridMultilevel"/>
    <w:tmpl w:val="0A64F3D6"/>
    <w:lvl w:ilvl="0" w:tplc="04100001">
      <w:start w:val="1"/>
      <w:numFmt w:val="bullet"/>
      <w:lvlText w:val=""/>
      <w:lvlJc w:val="left"/>
      <w:pPr>
        <w:ind w:left="1020" w:hanging="360"/>
      </w:pPr>
      <w:rPr>
        <w:rFonts w:ascii="Symbol" w:hAnsi="Symbol"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1" w15:restartNumberingAfterBreak="0">
    <w:nsid w:val="5B30172D"/>
    <w:multiLevelType w:val="hybridMultilevel"/>
    <w:tmpl w:val="BED8F83E"/>
    <w:lvl w:ilvl="0" w:tplc="CBAE4C84">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F92486"/>
    <w:multiLevelType w:val="multilevel"/>
    <w:tmpl w:val="AB1E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A3"/>
    <w:rsid w:val="00025385"/>
    <w:rsid w:val="000872FC"/>
    <w:rsid w:val="001870F8"/>
    <w:rsid w:val="00282466"/>
    <w:rsid w:val="00300AF1"/>
    <w:rsid w:val="003F1193"/>
    <w:rsid w:val="003F1928"/>
    <w:rsid w:val="004874E8"/>
    <w:rsid w:val="004E27A3"/>
    <w:rsid w:val="00621D7C"/>
    <w:rsid w:val="00647E01"/>
    <w:rsid w:val="0067648A"/>
    <w:rsid w:val="00743370"/>
    <w:rsid w:val="00773F6E"/>
    <w:rsid w:val="00774EBA"/>
    <w:rsid w:val="007A2799"/>
    <w:rsid w:val="007B56DA"/>
    <w:rsid w:val="007B5B0E"/>
    <w:rsid w:val="007C6368"/>
    <w:rsid w:val="00842E84"/>
    <w:rsid w:val="009E42DA"/>
    <w:rsid w:val="00A81F3D"/>
    <w:rsid w:val="00B1132B"/>
    <w:rsid w:val="00B20F67"/>
    <w:rsid w:val="00BB2255"/>
    <w:rsid w:val="00BC6943"/>
    <w:rsid w:val="00D727E4"/>
    <w:rsid w:val="00E11AE8"/>
    <w:rsid w:val="00E418EA"/>
    <w:rsid w:val="00F30773"/>
    <w:rsid w:val="00F5579C"/>
    <w:rsid w:val="00FF1B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F693"/>
  <w15:chartTrackingRefBased/>
  <w15:docId w15:val="{4F8D4919-651A-4EB3-BB2D-A111B9A3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4E27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E27A3"/>
    <w:rPr>
      <w:color w:val="0000FF"/>
      <w:u w:val="single"/>
    </w:rPr>
  </w:style>
  <w:style w:type="paragraph" w:customStyle="1" w:styleId="xstandard">
    <w:name w:val="x_standard"/>
    <w:basedOn w:val="Normale"/>
    <w:rsid w:val="004E27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E27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21D7C"/>
    <w:rPr>
      <w:i/>
      <w:iCs/>
    </w:rPr>
  </w:style>
  <w:style w:type="paragraph" w:styleId="Testonotaapidipagina">
    <w:name w:val="footnote text"/>
    <w:basedOn w:val="Normale"/>
    <w:link w:val="TestonotaapidipaginaCarattere"/>
    <w:uiPriority w:val="99"/>
    <w:unhideWhenUsed/>
    <w:rsid w:val="00B20F6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B20F67"/>
    <w:rPr>
      <w:sz w:val="20"/>
      <w:szCs w:val="20"/>
    </w:rPr>
  </w:style>
  <w:style w:type="character" w:styleId="Rimandonotaapidipagina">
    <w:name w:val="footnote reference"/>
    <w:basedOn w:val="Carpredefinitoparagrafo"/>
    <w:uiPriority w:val="99"/>
    <w:semiHidden/>
    <w:unhideWhenUsed/>
    <w:rsid w:val="00B20F67"/>
    <w:rPr>
      <w:vertAlign w:val="superscript"/>
    </w:rPr>
  </w:style>
  <w:style w:type="paragraph" w:styleId="Paragrafoelenco">
    <w:name w:val="List Paragraph"/>
    <w:basedOn w:val="Normale"/>
    <w:uiPriority w:val="34"/>
    <w:qFormat/>
    <w:rsid w:val="00B20F67"/>
    <w:pPr>
      <w:ind w:left="720"/>
      <w:contextualSpacing/>
    </w:pPr>
  </w:style>
  <w:style w:type="character" w:styleId="Menzionenonrisolta">
    <w:name w:val="Unresolved Mention"/>
    <w:basedOn w:val="Carpredefinitoparagrafo"/>
    <w:uiPriority w:val="99"/>
    <w:semiHidden/>
    <w:unhideWhenUsed/>
    <w:rsid w:val="007C6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33721">
      <w:bodyDiv w:val="1"/>
      <w:marLeft w:val="0"/>
      <w:marRight w:val="0"/>
      <w:marTop w:val="0"/>
      <w:marBottom w:val="0"/>
      <w:divBdr>
        <w:top w:val="none" w:sz="0" w:space="0" w:color="auto"/>
        <w:left w:val="none" w:sz="0" w:space="0" w:color="auto"/>
        <w:bottom w:val="none" w:sz="0" w:space="0" w:color="auto"/>
        <w:right w:val="none" w:sz="0" w:space="0" w:color="auto"/>
      </w:divBdr>
    </w:div>
    <w:div w:id="302153595">
      <w:bodyDiv w:val="1"/>
      <w:marLeft w:val="0"/>
      <w:marRight w:val="0"/>
      <w:marTop w:val="0"/>
      <w:marBottom w:val="0"/>
      <w:divBdr>
        <w:top w:val="none" w:sz="0" w:space="0" w:color="auto"/>
        <w:left w:val="none" w:sz="0" w:space="0" w:color="auto"/>
        <w:bottom w:val="none" w:sz="0" w:space="0" w:color="auto"/>
        <w:right w:val="none" w:sz="0" w:space="0" w:color="auto"/>
      </w:divBdr>
    </w:div>
    <w:div w:id="666174674">
      <w:bodyDiv w:val="1"/>
      <w:marLeft w:val="0"/>
      <w:marRight w:val="0"/>
      <w:marTop w:val="0"/>
      <w:marBottom w:val="0"/>
      <w:divBdr>
        <w:top w:val="none" w:sz="0" w:space="0" w:color="auto"/>
        <w:left w:val="none" w:sz="0" w:space="0" w:color="auto"/>
        <w:bottom w:val="none" w:sz="0" w:space="0" w:color="auto"/>
        <w:right w:val="none" w:sz="0" w:space="0" w:color="auto"/>
      </w:divBdr>
    </w:div>
    <w:div w:id="838422777">
      <w:bodyDiv w:val="1"/>
      <w:marLeft w:val="0"/>
      <w:marRight w:val="0"/>
      <w:marTop w:val="0"/>
      <w:marBottom w:val="0"/>
      <w:divBdr>
        <w:top w:val="none" w:sz="0" w:space="0" w:color="auto"/>
        <w:left w:val="none" w:sz="0" w:space="0" w:color="auto"/>
        <w:bottom w:val="none" w:sz="0" w:space="0" w:color="auto"/>
        <w:right w:val="none" w:sz="0" w:space="0" w:color="auto"/>
      </w:divBdr>
    </w:div>
    <w:div w:id="879169682">
      <w:bodyDiv w:val="1"/>
      <w:marLeft w:val="0"/>
      <w:marRight w:val="0"/>
      <w:marTop w:val="0"/>
      <w:marBottom w:val="0"/>
      <w:divBdr>
        <w:top w:val="none" w:sz="0" w:space="0" w:color="auto"/>
        <w:left w:val="none" w:sz="0" w:space="0" w:color="auto"/>
        <w:bottom w:val="none" w:sz="0" w:space="0" w:color="auto"/>
        <w:right w:val="none" w:sz="0" w:space="0" w:color="auto"/>
      </w:divBdr>
    </w:div>
    <w:div w:id="1270506650">
      <w:bodyDiv w:val="1"/>
      <w:marLeft w:val="0"/>
      <w:marRight w:val="0"/>
      <w:marTop w:val="0"/>
      <w:marBottom w:val="0"/>
      <w:divBdr>
        <w:top w:val="none" w:sz="0" w:space="0" w:color="auto"/>
        <w:left w:val="none" w:sz="0" w:space="0" w:color="auto"/>
        <w:bottom w:val="none" w:sz="0" w:space="0" w:color="auto"/>
        <w:right w:val="none" w:sz="0" w:space="0" w:color="auto"/>
      </w:divBdr>
    </w:div>
    <w:div w:id="1647540253">
      <w:bodyDiv w:val="1"/>
      <w:marLeft w:val="0"/>
      <w:marRight w:val="0"/>
      <w:marTop w:val="0"/>
      <w:marBottom w:val="0"/>
      <w:divBdr>
        <w:top w:val="none" w:sz="0" w:space="0" w:color="auto"/>
        <w:left w:val="none" w:sz="0" w:space="0" w:color="auto"/>
        <w:bottom w:val="none" w:sz="0" w:space="0" w:color="auto"/>
        <w:right w:val="none" w:sz="0" w:space="0" w:color="auto"/>
      </w:divBdr>
    </w:div>
    <w:div w:id="2070565874">
      <w:bodyDiv w:val="1"/>
      <w:marLeft w:val="0"/>
      <w:marRight w:val="0"/>
      <w:marTop w:val="0"/>
      <w:marBottom w:val="0"/>
      <w:divBdr>
        <w:top w:val="none" w:sz="0" w:space="0" w:color="auto"/>
        <w:left w:val="none" w:sz="0" w:space="0" w:color="auto"/>
        <w:bottom w:val="none" w:sz="0" w:space="0" w:color="auto"/>
        <w:right w:val="none" w:sz="0" w:space="0" w:color="auto"/>
      </w:divBdr>
      <w:divsChild>
        <w:div w:id="1915115833">
          <w:marLeft w:val="0"/>
          <w:marRight w:val="0"/>
          <w:marTop w:val="240"/>
          <w:marBottom w:val="240"/>
          <w:divBdr>
            <w:top w:val="none" w:sz="0" w:space="0" w:color="auto"/>
            <w:left w:val="none" w:sz="0" w:space="0" w:color="auto"/>
            <w:bottom w:val="none" w:sz="0" w:space="0" w:color="auto"/>
            <w:right w:val="none" w:sz="0" w:space="0" w:color="auto"/>
          </w:divBdr>
          <w:divsChild>
            <w:div w:id="510484691">
              <w:marLeft w:val="0"/>
              <w:marRight w:val="120"/>
              <w:marTop w:val="0"/>
              <w:marBottom w:val="180"/>
              <w:divBdr>
                <w:top w:val="none" w:sz="0" w:space="0" w:color="auto"/>
                <w:left w:val="none" w:sz="0" w:space="0" w:color="auto"/>
                <w:bottom w:val="none" w:sz="0" w:space="0" w:color="auto"/>
                <w:right w:val="none" w:sz="0" w:space="0" w:color="auto"/>
              </w:divBdr>
            </w:div>
            <w:div w:id="400255062">
              <w:marLeft w:val="0"/>
              <w:marRight w:val="120"/>
              <w:marTop w:val="0"/>
              <w:marBottom w:val="180"/>
              <w:divBdr>
                <w:top w:val="none" w:sz="0" w:space="0" w:color="auto"/>
                <w:left w:val="none" w:sz="0" w:space="0" w:color="auto"/>
                <w:bottom w:val="none" w:sz="0" w:space="0" w:color="auto"/>
                <w:right w:val="none" w:sz="0" w:space="0" w:color="auto"/>
              </w:divBdr>
            </w:div>
            <w:div w:id="12025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sr.regione.emilia-romagna.it/opportunita/2017/check-list-di-autovalutazione-delle-procedure-per-l2019affidamento-dei-contratti-pubblici-ai-sensi-del-codice-dei-contratti-vigente/check-lis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viluppoeconomico@postacert.regione.emilia-romagna.i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esr.regione.emilia-romagna.it/opportunita/2017/check-list-di-autovalutazione-delle-procedure-per-l2019affidamento-dei-contratti-pubblici-ai-sensi-del-codice-dei-contratti-vigente/check-list" TargetMode="Externa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8D7201-4524-4BE5-B38E-5FBEC8B57C51}"/>
</file>

<file path=customXml/itemProps2.xml><?xml version="1.0" encoding="utf-8"?>
<ds:datastoreItem xmlns:ds="http://schemas.openxmlformats.org/officeDocument/2006/customXml" ds:itemID="{1B5E56D5-3C59-45C6-81B1-D765523A763F}"/>
</file>

<file path=customXml/itemProps3.xml><?xml version="1.0" encoding="utf-8"?>
<ds:datastoreItem xmlns:ds="http://schemas.openxmlformats.org/officeDocument/2006/customXml" ds:itemID="{6EAB12CB-B757-4040-B8F5-7F90C9DBBA92}"/>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7649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Potena Giulia</dc:creator>
  <cp:keywords/>
  <dc:description/>
  <cp:lastModifiedBy>Aguiari Diletta</cp:lastModifiedBy>
  <cp:revision>2</cp:revision>
  <dcterms:created xsi:type="dcterms:W3CDTF">2019-04-09T08:33:00Z</dcterms:created>
  <dcterms:modified xsi:type="dcterms:W3CDTF">2019-04-09T08:33:00Z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